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0B34C" w14:textId="40F15A0E" w:rsidR="00A12889" w:rsidRDefault="005D44F2" w:rsidP="00A12889">
      <w:pPr>
        <w:jc w:val="center"/>
      </w:pPr>
      <w:r>
        <w:rPr>
          <w:noProof/>
        </w:rPr>
        <w:drawing>
          <wp:inline distT="0" distB="0" distL="0" distR="0" wp14:anchorId="0618B4D0" wp14:editId="00E670E9">
            <wp:extent cx="1514475" cy="990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55314" cy="1017312"/>
                    </a:xfrm>
                    <a:prstGeom prst="rect">
                      <a:avLst/>
                    </a:prstGeom>
                  </pic:spPr>
                </pic:pic>
              </a:graphicData>
            </a:graphic>
          </wp:inline>
        </w:drawing>
      </w:r>
    </w:p>
    <w:p w14:paraId="6B0B5109" w14:textId="77777777" w:rsidR="00A12889" w:rsidRDefault="00A12889" w:rsidP="00A12889">
      <w:pPr>
        <w:jc w:val="center"/>
        <w:rPr>
          <w:sz w:val="18"/>
        </w:rPr>
      </w:pPr>
    </w:p>
    <w:p w14:paraId="0EADD8C7" w14:textId="77777777" w:rsidR="0098198D" w:rsidRDefault="0098198D" w:rsidP="00A12889">
      <w:pPr>
        <w:jc w:val="center"/>
        <w:rPr>
          <w:sz w:val="18"/>
        </w:rPr>
      </w:pPr>
    </w:p>
    <w:p w14:paraId="50907D64" w14:textId="77777777" w:rsidR="0098198D" w:rsidRPr="00AE279F" w:rsidRDefault="0098198D" w:rsidP="00A12889">
      <w:pPr>
        <w:jc w:val="center"/>
        <w:rPr>
          <w:sz w:val="18"/>
        </w:rPr>
      </w:pPr>
    </w:p>
    <w:p w14:paraId="2C30ABCD" w14:textId="488744FB" w:rsidR="000372EF" w:rsidRPr="00345B4C" w:rsidRDefault="005D44F2" w:rsidP="000372EF">
      <w:pPr>
        <w:pStyle w:val="NoSpacing"/>
        <w:shd w:val="clear" w:color="auto" w:fill="336699"/>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 xml:space="preserve">Autumn </w:t>
      </w:r>
      <w:r w:rsidR="000372EF" w:rsidRPr="00345B4C">
        <w:rPr>
          <w:rFonts w:ascii="Times New Roman" w:hAnsi="Times New Roman" w:cs="Times New Roman"/>
          <w:b/>
          <w:color w:val="FFFFFF" w:themeColor="background1"/>
          <w:sz w:val="24"/>
          <w:szCs w:val="24"/>
        </w:rPr>
        <w:t xml:space="preserve">Budget Report </w:t>
      </w:r>
      <w:r w:rsidR="00410CCF">
        <w:rPr>
          <w:rFonts w:ascii="Times New Roman" w:hAnsi="Times New Roman" w:cs="Times New Roman"/>
          <w:b/>
          <w:color w:val="FFFFFF" w:themeColor="background1"/>
          <w:sz w:val="24"/>
          <w:szCs w:val="24"/>
        </w:rPr>
        <w:t>-</w:t>
      </w:r>
      <w:r w:rsidR="00C76C1E" w:rsidRPr="00345B4C">
        <w:rPr>
          <w:rFonts w:ascii="Times New Roman" w:hAnsi="Times New Roman" w:cs="Times New Roman"/>
          <w:b/>
          <w:color w:val="FFFFFF" w:themeColor="background1"/>
          <w:sz w:val="24"/>
          <w:szCs w:val="24"/>
        </w:rPr>
        <w:t xml:space="preserve"> </w:t>
      </w:r>
      <w:r w:rsidR="00410CCF">
        <w:rPr>
          <w:rFonts w:ascii="Times New Roman" w:hAnsi="Times New Roman" w:cs="Times New Roman"/>
          <w:b/>
          <w:color w:val="FFFFFF" w:themeColor="background1"/>
          <w:sz w:val="24"/>
          <w:szCs w:val="24"/>
        </w:rPr>
        <w:t>November 2025</w:t>
      </w:r>
    </w:p>
    <w:p w14:paraId="623B8FBE" w14:textId="77777777" w:rsidR="000372EF" w:rsidRDefault="000372EF" w:rsidP="000372EF">
      <w:pPr>
        <w:pStyle w:val="NoSpacing"/>
        <w:jc w:val="both"/>
        <w:rPr>
          <w:rFonts w:ascii="Times New Roman" w:hAnsi="Times New Roman" w:cs="Times New Roman"/>
          <w:color w:val="FF0000"/>
          <w:sz w:val="20"/>
        </w:rPr>
      </w:pPr>
    </w:p>
    <w:p w14:paraId="5F9B2033" w14:textId="77777777" w:rsidR="005E3313" w:rsidRPr="00DC5003" w:rsidRDefault="005E3313" w:rsidP="000372EF">
      <w:pPr>
        <w:pStyle w:val="NoSpacing"/>
        <w:jc w:val="both"/>
        <w:rPr>
          <w:rFonts w:ascii="Times New Roman" w:hAnsi="Times New Roman" w:cs="Times New Roman"/>
          <w:color w:val="FF0000"/>
          <w:sz w:val="20"/>
        </w:rPr>
      </w:pPr>
    </w:p>
    <w:p w14:paraId="220655AD" w14:textId="35A746BE" w:rsidR="000372EF" w:rsidRPr="007020C2" w:rsidRDefault="000372EF" w:rsidP="000372EF">
      <w:pPr>
        <w:pStyle w:val="NoSpacing"/>
        <w:shd w:val="clear" w:color="auto" w:fill="DBE5F1" w:themeFill="accent1" w:themeFillTint="33"/>
        <w:jc w:val="both"/>
        <w:rPr>
          <w:rFonts w:ascii="Times New Roman" w:hAnsi="Times New Roman" w:cs="Times New Roman"/>
          <w:b/>
          <w:sz w:val="20"/>
        </w:rPr>
      </w:pPr>
      <w:r w:rsidRPr="007020C2">
        <w:rPr>
          <w:rFonts w:ascii="Times New Roman" w:hAnsi="Times New Roman" w:cs="Times New Roman"/>
          <w:b/>
          <w:sz w:val="20"/>
        </w:rPr>
        <w:t>Overview</w:t>
      </w:r>
    </w:p>
    <w:p w14:paraId="2B22BD22" w14:textId="77777777" w:rsidR="00786DD8" w:rsidRDefault="00786DD8" w:rsidP="003E2D63">
      <w:pPr>
        <w:pStyle w:val="NoSpacing"/>
        <w:jc w:val="both"/>
        <w:rPr>
          <w:rFonts w:ascii="Times New Roman" w:hAnsi="Times New Roman" w:cs="Times New Roman"/>
          <w:bCs/>
          <w:sz w:val="20"/>
        </w:rPr>
      </w:pPr>
    </w:p>
    <w:p w14:paraId="237C8BE5" w14:textId="77777777" w:rsidR="005E3313" w:rsidRDefault="005E3313" w:rsidP="003E2D63">
      <w:pPr>
        <w:pStyle w:val="NoSpacing"/>
        <w:jc w:val="both"/>
        <w:rPr>
          <w:rFonts w:ascii="Times New Roman" w:hAnsi="Times New Roman" w:cs="Times New Roman"/>
          <w:bCs/>
          <w:sz w:val="20"/>
        </w:rPr>
      </w:pPr>
    </w:p>
    <w:p w14:paraId="63777FB3" w14:textId="6C153195" w:rsidR="00786DD8" w:rsidRPr="00786DD8" w:rsidRDefault="00786DD8" w:rsidP="0083002F">
      <w:pPr>
        <w:pStyle w:val="NoSpacing"/>
        <w:numPr>
          <w:ilvl w:val="0"/>
          <w:numId w:val="4"/>
        </w:numPr>
        <w:ind w:left="360"/>
        <w:jc w:val="both"/>
        <w:rPr>
          <w:rFonts w:ascii="Times New Roman" w:hAnsi="Times New Roman" w:cs="Times New Roman"/>
          <w:bCs/>
          <w:sz w:val="20"/>
        </w:rPr>
      </w:pPr>
      <w:r w:rsidRPr="00786DD8">
        <w:rPr>
          <w:rFonts w:ascii="Times New Roman" w:hAnsi="Times New Roman" w:cs="Times New Roman"/>
          <w:bCs/>
          <w:sz w:val="20"/>
        </w:rPr>
        <w:t>After months of speculation, UK Chancellor Rachel Reeves presented the Autumn Budget on 26</w:t>
      </w:r>
      <w:r w:rsidRPr="00786DD8">
        <w:rPr>
          <w:rFonts w:ascii="Times New Roman" w:hAnsi="Times New Roman" w:cs="Times New Roman"/>
          <w:bCs/>
          <w:sz w:val="20"/>
          <w:vertAlign w:val="superscript"/>
        </w:rPr>
        <w:t>th</w:t>
      </w:r>
      <w:r w:rsidRPr="00786DD8">
        <w:rPr>
          <w:rFonts w:ascii="Times New Roman" w:hAnsi="Times New Roman" w:cs="Times New Roman"/>
          <w:bCs/>
          <w:sz w:val="20"/>
        </w:rPr>
        <w:t xml:space="preserve"> November, unveiling a substantial £26 billion package of tax increases, alongside targeted spending measures</w:t>
      </w:r>
      <w:r w:rsidR="00915CEB">
        <w:rPr>
          <w:rFonts w:ascii="Times New Roman" w:hAnsi="Times New Roman" w:cs="Times New Roman"/>
          <w:bCs/>
          <w:sz w:val="20"/>
        </w:rPr>
        <w:t>.</w:t>
      </w:r>
    </w:p>
    <w:p w14:paraId="7A6ADE8D" w14:textId="77777777" w:rsidR="00786DD8" w:rsidRPr="00786DD8" w:rsidRDefault="00786DD8" w:rsidP="00087757">
      <w:pPr>
        <w:pStyle w:val="NoSpacing"/>
        <w:jc w:val="both"/>
        <w:rPr>
          <w:rFonts w:ascii="Times New Roman" w:hAnsi="Times New Roman" w:cs="Times New Roman"/>
          <w:bCs/>
          <w:sz w:val="20"/>
        </w:rPr>
      </w:pPr>
    </w:p>
    <w:p w14:paraId="70E8AFF8" w14:textId="5CCC8E1D" w:rsidR="00786DD8" w:rsidRPr="00786DD8" w:rsidRDefault="005E3313" w:rsidP="0083002F">
      <w:pPr>
        <w:pStyle w:val="NoSpacing"/>
        <w:numPr>
          <w:ilvl w:val="0"/>
          <w:numId w:val="4"/>
        </w:numPr>
        <w:ind w:left="360"/>
        <w:jc w:val="both"/>
        <w:rPr>
          <w:rFonts w:ascii="Times New Roman" w:hAnsi="Times New Roman" w:cs="Times New Roman"/>
          <w:bCs/>
          <w:sz w:val="20"/>
        </w:rPr>
      </w:pPr>
      <w:r>
        <w:rPr>
          <w:rFonts w:ascii="Times New Roman" w:hAnsi="Times New Roman" w:cs="Times New Roman"/>
          <w:bCs/>
          <w:sz w:val="20"/>
        </w:rPr>
        <w:t>T</w:t>
      </w:r>
      <w:r w:rsidR="00786DD8" w:rsidRPr="00786DD8">
        <w:rPr>
          <w:rFonts w:ascii="Times New Roman" w:hAnsi="Times New Roman" w:cs="Times New Roman"/>
          <w:bCs/>
          <w:sz w:val="20"/>
        </w:rPr>
        <w:t xml:space="preserve">he </w:t>
      </w:r>
      <w:r w:rsidR="000A11C8">
        <w:rPr>
          <w:rFonts w:ascii="Times New Roman" w:hAnsi="Times New Roman" w:cs="Times New Roman"/>
          <w:bCs/>
          <w:sz w:val="20"/>
        </w:rPr>
        <w:t>C</w:t>
      </w:r>
      <w:r w:rsidR="00786DD8" w:rsidRPr="00786DD8">
        <w:rPr>
          <w:rFonts w:ascii="Times New Roman" w:hAnsi="Times New Roman" w:cs="Times New Roman"/>
          <w:bCs/>
          <w:sz w:val="20"/>
        </w:rPr>
        <w:t>hancellor has</w:t>
      </w:r>
      <w:r>
        <w:rPr>
          <w:rFonts w:ascii="Times New Roman" w:hAnsi="Times New Roman" w:cs="Times New Roman"/>
          <w:bCs/>
          <w:sz w:val="20"/>
        </w:rPr>
        <w:t xml:space="preserve"> effectively</w:t>
      </w:r>
      <w:r w:rsidR="00786DD8" w:rsidRPr="00786DD8">
        <w:rPr>
          <w:rFonts w:ascii="Times New Roman" w:hAnsi="Times New Roman" w:cs="Times New Roman"/>
          <w:bCs/>
          <w:sz w:val="20"/>
        </w:rPr>
        <w:t xml:space="preserve"> chosen to raise taxes over increasing borrowing or cutting spending, with taxes forecast to rise to an </w:t>
      </w:r>
      <w:r w:rsidR="004E760C" w:rsidRPr="00786DD8">
        <w:rPr>
          <w:rFonts w:ascii="Times New Roman" w:hAnsi="Times New Roman" w:cs="Times New Roman"/>
          <w:bCs/>
          <w:sz w:val="20"/>
        </w:rPr>
        <w:t>all</w:t>
      </w:r>
      <w:r w:rsidR="004E760C">
        <w:rPr>
          <w:rFonts w:ascii="Times New Roman" w:hAnsi="Times New Roman" w:cs="Times New Roman"/>
          <w:bCs/>
          <w:sz w:val="20"/>
        </w:rPr>
        <w:t>-</w:t>
      </w:r>
      <w:r w:rsidR="004E760C" w:rsidRPr="00786DD8">
        <w:rPr>
          <w:rFonts w:ascii="Times New Roman" w:hAnsi="Times New Roman" w:cs="Times New Roman"/>
          <w:bCs/>
          <w:sz w:val="20"/>
        </w:rPr>
        <w:t>time</w:t>
      </w:r>
      <w:r w:rsidR="00786DD8" w:rsidRPr="00786DD8">
        <w:rPr>
          <w:rFonts w:ascii="Times New Roman" w:hAnsi="Times New Roman" w:cs="Times New Roman"/>
          <w:bCs/>
          <w:sz w:val="20"/>
        </w:rPr>
        <w:t xml:space="preserve"> high of 38% of GDP by the end of this parliament</w:t>
      </w:r>
      <w:r w:rsidR="00786DD8">
        <w:rPr>
          <w:rFonts w:ascii="Times New Roman" w:hAnsi="Times New Roman" w:cs="Times New Roman"/>
          <w:bCs/>
          <w:sz w:val="20"/>
        </w:rPr>
        <w:t>.</w:t>
      </w:r>
    </w:p>
    <w:p w14:paraId="29B3BAE6" w14:textId="77777777" w:rsidR="00786DD8" w:rsidRPr="00786DD8" w:rsidRDefault="00786DD8" w:rsidP="00087757">
      <w:pPr>
        <w:pStyle w:val="NoSpacing"/>
        <w:jc w:val="both"/>
        <w:rPr>
          <w:rFonts w:ascii="Times New Roman" w:hAnsi="Times New Roman" w:cs="Times New Roman"/>
          <w:bCs/>
          <w:sz w:val="20"/>
        </w:rPr>
      </w:pPr>
    </w:p>
    <w:p w14:paraId="1D6665BD" w14:textId="7686EEDC" w:rsidR="00786DD8" w:rsidRDefault="005E3313" w:rsidP="0083002F">
      <w:pPr>
        <w:pStyle w:val="NoSpacing"/>
        <w:numPr>
          <w:ilvl w:val="0"/>
          <w:numId w:val="4"/>
        </w:numPr>
        <w:ind w:left="360"/>
        <w:jc w:val="both"/>
        <w:rPr>
          <w:rFonts w:ascii="Times New Roman" w:hAnsi="Times New Roman" w:cs="Times New Roman"/>
          <w:bCs/>
          <w:sz w:val="20"/>
        </w:rPr>
      </w:pPr>
      <w:r>
        <w:rPr>
          <w:rFonts w:ascii="Times New Roman" w:hAnsi="Times New Roman" w:cs="Times New Roman"/>
          <w:bCs/>
          <w:sz w:val="20"/>
        </w:rPr>
        <w:t>It is interesting that</w:t>
      </w:r>
      <w:r w:rsidR="00786DD8" w:rsidRPr="00786DD8">
        <w:rPr>
          <w:rFonts w:ascii="Times New Roman" w:hAnsi="Times New Roman" w:cs="Times New Roman"/>
          <w:bCs/>
          <w:sz w:val="20"/>
        </w:rPr>
        <w:t xml:space="preserve"> many of the measures that the </w:t>
      </w:r>
      <w:r>
        <w:rPr>
          <w:rFonts w:ascii="Times New Roman" w:hAnsi="Times New Roman" w:cs="Times New Roman"/>
          <w:bCs/>
          <w:sz w:val="20"/>
        </w:rPr>
        <w:t xml:space="preserve">financial </w:t>
      </w:r>
      <w:r w:rsidR="00786DD8" w:rsidRPr="00786DD8">
        <w:rPr>
          <w:rFonts w:ascii="Times New Roman" w:hAnsi="Times New Roman" w:cs="Times New Roman"/>
          <w:bCs/>
          <w:sz w:val="20"/>
        </w:rPr>
        <w:t>media were speculating about prior to the announcement</w:t>
      </w:r>
      <w:r>
        <w:rPr>
          <w:rFonts w:ascii="Times New Roman" w:hAnsi="Times New Roman" w:cs="Times New Roman"/>
          <w:bCs/>
          <w:sz w:val="20"/>
        </w:rPr>
        <w:t xml:space="preserve"> failed to materialise</w:t>
      </w:r>
      <w:r w:rsidR="00786DD8" w:rsidRPr="00786DD8">
        <w:rPr>
          <w:rFonts w:ascii="Times New Roman" w:hAnsi="Times New Roman" w:cs="Times New Roman"/>
          <w:bCs/>
          <w:sz w:val="20"/>
        </w:rPr>
        <w:t xml:space="preserve">. </w:t>
      </w:r>
    </w:p>
    <w:p w14:paraId="18BC116F" w14:textId="77777777" w:rsidR="00786DD8" w:rsidRPr="003E2D63" w:rsidRDefault="00786DD8" w:rsidP="00087757">
      <w:pPr>
        <w:pStyle w:val="NoSpacing"/>
        <w:jc w:val="both"/>
        <w:rPr>
          <w:rFonts w:ascii="Times New Roman" w:hAnsi="Times New Roman" w:cs="Times New Roman"/>
          <w:bCs/>
          <w:sz w:val="20"/>
        </w:rPr>
      </w:pPr>
    </w:p>
    <w:p w14:paraId="1E0C21A0" w14:textId="0E3E47BC" w:rsidR="00786DD8" w:rsidRDefault="005E3313" w:rsidP="0083002F">
      <w:pPr>
        <w:pStyle w:val="NoSpacing"/>
        <w:numPr>
          <w:ilvl w:val="0"/>
          <w:numId w:val="4"/>
        </w:numPr>
        <w:ind w:left="360"/>
        <w:jc w:val="both"/>
        <w:rPr>
          <w:rFonts w:ascii="Times New Roman" w:hAnsi="Times New Roman" w:cs="Times New Roman"/>
          <w:bCs/>
          <w:sz w:val="20"/>
        </w:rPr>
      </w:pPr>
      <w:r>
        <w:rPr>
          <w:rFonts w:ascii="Times New Roman" w:hAnsi="Times New Roman" w:cs="Times New Roman"/>
          <w:bCs/>
          <w:sz w:val="20"/>
        </w:rPr>
        <w:t>T</w:t>
      </w:r>
      <w:r w:rsidR="00786DD8" w:rsidRPr="003E2D63">
        <w:rPr>
          <w:rFonts w:ascii="Times New Roman" w:hAnsi="Times New Roman" w:cs="Times New Roman"/>
          <w:bCs/>
          <w:sz w:val="20"/>
        </w:rPr>
        <w:t xml:space="preserve">here were no reforms to tax-free cash on pensions, pension tax relief or IHT caps on gifting, despite months of rumour and speculation. The main rates of </w:t>
      </w:r>
      <w:r w:rsidR="00786DD8">
        <w:rPr>
          <w:rFonts w:ascii="Times New Roman" w:hAnsi="Times New Roman" w:cs="Times New Roman"/>
          <w:bCs/>
          <w:sz w:val="20"/>
        </w:rPr>
        <w:t>I</w:t>
      </w:r>
      <w:r w:rsidR="00786DD8" w:rsidRPr="003E2D63">
        <w:rPr>
          <w:rFonts w:ascii="Times New Roman" w:hAnsi="Times New Roman" w:cs="Times New Roman"/>
          <w:bCs/>
          <w:sz w:val="20"/>
        </w:rPr>
        <w:t xml:space="preserve">ncome </w:t>
      </w:r>
      <w:r w:rsidR="00786DD8">
        <w:rPr>
          <w:rFonts w:ascii="Times New Roman" w:hAnsi="Times New Roman" w:cs="Times New Roman"/>
          <w:bCs/>
          <w:sz w:val="20"/>
        </w:rPr>
        <w:t>T</w:t>
      </w:r>
      <w:r w:rsidR="00786DD8" w:rsidRPr="003E2D63">
        <w:rPr>
          <w:rFonts w:ascii="Times New Roman" w:hAnsi="Times New Roman" w:cs="Times New Roman"/>
          <w:bCs/>
          <w:sz w:val="20"/>
        </w:rPr>
        <w:t>ax and N</w:t>
      </w:r>
      <w:r w:rsidR="00786DD8">
        <w:rPr>
          <w:rFonts w:ascii="Times New Roman" w:hAnsi="Times New Roman" w:cs="Times New Roman"/>
          <w:bCs/>
          <w:sz w:val="20"/>
        </w:rPr>
        <w:t>ational Insurance</w:t>
      </w:r>
      <w:r w:rsidR="00786DD8" w:rsidRPr="003E2D63">
        <w:rPr>
          <w:rFonts w:ascii="Times New Roman" w:hAnsi="Times New Roman" w:cs="Times New Roman"/>
          <w:bCs/>
          <w:sz w:val="20"/>
        </w:rPr>
        <w:t xml:space="preserve"> are also unaffected.</w:t>
      </w:r>
    </w:p>
    <w:p w14:paraId="1D41E84F" w14:textId="77777777" w:rsidR="005D44F2" w:rsidRDefault="005D44F2" w:rsidP="000351BB">
      <w:pPr>
        <w:pStyle w:val="NoSpacing"/>
        <w:jc w:val="both"/>
        <w:rPr>
          <w:rFonts w:ascii="Times New Roman" w:hAnsi="Times New Roman" w:cs="Times New Roman"/>
          <w:bCs/>
          <w:sz w:val="20"/>
          <w:szCs w:val="20"/>
        </w:rPr>
      </w:pPr>
    </w:p>
    <w:p w14:paraId="73791025" w14:textId="77777777" w:rsidR="005E3313" w:rsidRDefault="005E3313" w:rsidP="000351BB">
      <w:pPr>
        <w:pStyle w:val="NoSpacing"/>
        <w:jc w:val="both"/>
        <w:rPr>
          <w:rFonts w:ascii="Times New Roman" w:hAnsi="Times New Roman" w:cs="Times New Roman"/>
          <w:bCs/>
          <w:sz w:val="20"/>
          <w:szCs w:val="20"/>
        </w:rPr>
      </w:pPr>
    </w:p>
    <w:p w14:paraId="531BBC04" w14:textId="121FC9A5" w:rsidR="005D44F2" w:rsidRPr="00FC27F6" w:rsidRDefault="005E3313" w:rsidP="000351BB">
      <w:pPr>
        <w:pStyle w:val="NoSpacing"/>
        <w:jc w:val="both"/>
        <w:rPr>
          <w:rFonts w:ascii="Times New Roman" w:hAnsi="Times New Roman" w:cs="Times New Roman"/>
          <w:b/>
          <w:sz w:val="20"/>
          <w:szCs w:val="20"/>
        </w:rPr>
      </w:pPr>
      <w:r>
        <w:rPr>
          <w:rFonts w:ascii="Times New Roman" w:hAnsi="Times New Roman" w:cs="Times New Roman"/>
          <w:b/>
          <w:sz w:val="20"/>
          <w:szCs w:val="20"/>
        </w:rPr>
        <w:t>A summary of t</w:t>
      </w:r>
      <w:r w:rsidR="005D44F2" w:rsidRPr="00FC27F6">
        <w:rPr>
          <w:rFonts w:ascii="Times New Roman" w:hAnsi="Times New Roman" w:cs="Times New Roman"/>
          <w:b/>
          <w:sz w:val="20"/>
          <w:szCs w:val="20"/>
        </w:rPr>
        <w:t xml:space="preserve">he key </w:t>
      </w:r>
      <w:r w:rsidR="00761A32" w:rsidRPr="00FC27F6">
        <w:rPr>
          <w:rFonts w:ascii="Times New Roman" w:hAnsi="Times New Roman" w:cs="Times New Roman"/>
          <w:b/>
          <w:sz w:val="20"/>
          <w:szCs w:val="20"/>
        </w:rPr>
        <w:t>announcements</w:t>
      </w:r>
      <w:r w:rsidR="00FE371C" w:rsidRPr="00FC27F6">
        <w:rPr>
          <w:rFonts w:ascii="Times New Roman" w:hAnsi="Times New Roman" w:cs="Times New Roman"/>
          <w:b/>
          <w:sz w:val="20"/>
          <w:szCs w:val="20"/>
        </w:rPr>
        <w:t xml:space="preserve"> in regard to our clients are </w:t>
      </w:r>
      <w:r>
        <w:rPr>
          <w:rFonts w:ascii="Times New Roman" w:hAnsi="Times New Roman" w:cs="Times New Roman"/>
          <w:b/>
          <w:sz w:val="20"/>
          <w:szCs w:val="20"/>
        </w:rPr>
        <w:t>felt to be</w:t>
      </w:r>
      <w:r w:rsidR="005D44F2" w:rsidRPr="00FC27F6">
        <w:rPr>
          <w:rFonts w:ascii="Times New Roman" w:hAnsi="Times New Roman" w:cs="Times New Roman"/>
          <w:b/>
          <w:sz w:val="20"/>
          <w:szCs w:val="20"/>
        </w:rPr>
        <w:t>:</w:t>
      </w:r>
    </w:p>
    <w:p w14:paraId="1D1131EB" w14:textId="77777777" w:rsidR="00AD739E" w:rsidRDefault="00AD739E" w:rsidP="000351BB">
      <w:pPr>
        <w:pStyle w:val="NoSpacing"/>
        <w:jc w:val="both"/>
        <w:rPr>
          <w:rFonts w:ascii="Times New Roman" w:hAnsi="Times New Roman" w:cs="Times New Roman"/>
          <w:bCs/>
          <w:sz w:val="20"/>
        </w:rPr>
      </w:pPr>
    </w:p>
    <w:tbl>
      <w:tblPr>
        <w:tblStyle w:val="TableGrid"/>
        <w:tblW w:w="0" w:type="auto"/>
        <w:tblLook w:val="04A0" w:firstRow="1" w:lastRow="0" w:firstColumn="1" w:lastColumn="0" w:noHBand="0" w:noVBand="1"/>
      </w:tblPr>
      <w:tblGrid>
        <w:gridCol w:w="3005"/>
        <w:gridCol w:w="3005"/>
        <w:gridCol w:w="3006"/>
      </w:tblGrid>
      <w:tr w:rsidR="00AD739E" w14:paraId="590857C4" w14:textId="77777777" w:rsidTr="00AD739E">
        <w:tc>
          <w:tcPr>
            <w:tcW w:w="3005" w:type="dxa"/>
            <w:shd w:val="clear" w:color="auto" w:fill="DBE5F1" w:themeFill="accent1" w:themeFillTint="33"/>
          </w:tcPr>
          <w:p w14:paraId="2D233349" w14:textId="29DDB8D3" w:rsidR="00AD739E" w:rsidRPr="00AD739E" w:rsidRDefault="00AD739E" w:rsidP="00AD739E">
            <w:pPr>
              <w:pStyle w:val="NoSpacing"/>
              <w:jc w:val="center"/>
              <w:rPr>
                <w:rFonts w:ascii="Times New Roman" w:hAnsi="Times New Roman" w:cs="Times New Roman"/>
                <w:b/>
                <w:sz w:val="20"/>
              </w:rPr>
            </w:pPr>
            <w:r w:rsidRPr="00AD739E">
              <w:rPr>
                <w:rFonts w:ascii="Times New Roman" w:hAnsi="Times New Roman" w:cs="Times New Roman"/>
                <w:b/>
                <w:sz w:val="20"/>
              </w:rPr>
              <w:t>Area</w:t>
            </w:r>
          </w:p>
        </w:tc>
        <w:tc>
          <w:tcPr>
            <w:tcW w:w="3005" w:type="dxa"/>
            <w:shd w:val="clear" w:color="auto" w:fill="DBE5F1" w:themeFill="accent1" w:themeFillTint="33"/>
          </w:tcPr>
          <w:p w14:paraId="3A7355B4" w14:textId="48D3E2BD" w:rsidR="00AD739E" w:rsidRPr="00AD739E" w:rsidRDefault="00AD739E" w:rsidP="00AD739E">
            <w:pPr>
              <w:pStyle w:val="NoSpacing"/>
              <w:jc w:val="center"/>
              <w:rPr>
                <w:rFonts w:ascii="Times New Roman" w:hAnsi="Times New Roman" w:cs="Times New Roman"/>
                <w:b/>
                <w:sz w:val="20"/>
              </w:rPr>
            </w:pPr>
            <w:r w:rsidRPr="00AD739E">
              <w:rPr>
                <w:rFonts w:ascii="Times New Roman" w:hAnsi="Times New Roman" w:cs="Times New Roman"/>
                <w:b/>
                <w:sz w:val="20"/>
              </w:rPr>
              <w:t>Change</w:t>
            </w:r>
          </w:p>
        </w:tc>
        <w:tc>
          <w:tcPr>
            <w:tcW w:w="3006" w:type="dxa"/>
            <w:shd w:val="clear" w:color="auto" w:fill="DBE5F1" w:themeFill="accent1" w:themeFillTint="33"/>
          </w:tcPr>
          <w:p w14:paraId="75ABC097" w14:textId="445B8DCE" w:rsidR="00AD739E" w:rsidRPr="00AD739E" w:rsidRDefault="00AD739E" w:rsidP="00AD739E">
            <w:pPr>
              <w:pStyle w:val="NoSpacing"/>
              <w:jc w:val="center"/>
              <w:rPr>
                <w:rFonts w:ascii="Times New Roman" w:hAnsi="Times New Roman" w:cs="Times New Roman"/>
                <w:b/>
                <w:sz w:val="20"/>
              </w:rPr>
            </w:pPr>
            <w:r w:rsidRPr="00AD739E">
              <w:rPr>
                <w:rFonts w:ascii="Times New Roman" w:hAnsi="Times New Roman" w:cs="Times New Roman"/>
                <w:b/>
                <w:sz w:val="20"/>
              </w:rPr>
              <w:t>Effective from</w:t>
            </w:r>
          </w:p>
        </w:tc>
      </w:tr>
      <w:tr w:rsidR="00410CCF" w14:paraId="091530DC" w14:textId="77777777" w:rsidTr="00AD739E">
        <w:tc>
          <w:tcPr>
            <w:tcW w:w="3005" w:type="dxa"/>
          </w:tcPr>
          <w:p w14:paraId="31B5A818" w14:textId="77777777" w:rsidR="005E3313" w:rsidRPr="005E3313" w:rsidRDefault="005E3313" w:rsidP="00410CCF">
            <w:pPr>
              <w:pStyle w:val="NoSpacing"/>
              <w:jc w:val="center"/>
              <w:rPr>
                <w:rFonts w:ascii="Times New Roman" w:hAnsi="Times New Roman" w:cs="Times New Roman"/>
                <w:b/>
                <w:sz w:val="10"/>
                <w:szCs w:val="10"/>
              </w:rPr>
            </w:pPr>
          </w:p>
          <w:p w14:paraId="7CD1A804" w14:textId="79ABEB98" w:rsidR="00410CCF" w:rsidRPr="00410CCF" w:rsidRDefault="00410CCF" w:rsidP="00410CCF">
            <w:pPr>
              <w:pStyle w:val="NoSpacing"/>
              <w:jc w:val="center"/>
              <w:rPr>
                <w:rFonts w:ascii="Times New Roman" w:hAnsi="Times New Roman" w:cs="Times New Roman"/>
                <w:b/>
                <w:sz w:val="20"/>
              </w:rPr>
            </w:pPr>
            <w:r>
              <w:rPr>
                <w:rFonts w:ascii="Times New Roman" w:hAnsi="Times New Roman" w:cs="Times New Roman"/>
                <w:b/>
                <w:sz w:val="20"/>
              </w:rPr>
              <w:t xml:space="preserve">Income Tax </w:t>
            </w:r>
            <w:r w:rsidR="005E3313">
              <w:rPr>
                <w:rFonts w:ascii="Times New Roman" w:hAnsi="Times New Roman" w:cs="Times New Roman"/>
                <w:b/>
                <w:sz w:val="20"/>
              </w:rPr>
              <w:t>T</w:t>
            </w:r>
            <w:r>
              <w:rPr>
                <w:rFonts w:ascii="Times New Roman" w:hAnsi="Times New Roman" w:cs="Times New Roman"/>
                <w:b/>
                <w:sz w:val="20"/>
              </w:rPr>
              <w:t>hresholds</w:t>
            </w:r>
          </w:p>
        </w:tc>
        <w:tc>
          <w:tcPr>
            <w:tcW w:w="3005" w:type="dxa"/>
          </w:tcPr>
          <w:p w14:paraId="12278988" w14:textId="1B7DD179" w:rsidR="00410CCF" w:rsidRDefault="00410CCF" w:rsidP="005E3313">
            <w:pPr>
              <w:pStyle w:val="NoSpacing"/>
              <w:jc w:val="center"/>
              <w:rPr>
                <w:rFonts w:ascii="Times New Roman" w:hAnsi="Times New Roman" w:cs="Times New Roman"/>
                <w:bCs/>
                <w:sz w:val="20"/>
              </w:rPr>
            </w:pPr>
            <w:r>
              <w:rPr>
                <w:rFonts w:ascii="Times New Roman" w:hAnsi="Times New Roman" w:cs="Times New Roman"/>
                <w:bCs/>
                <w:sz w:val="20"/>
              </w:rPr>
              <w:t xml:space="preserve">These </w:t>
            </w:r>
            <w:r w:rsidRPr="00410CCF">
              <w:rPr>
                <w:rFonts w:ascii="Times New Roman" w:hAnsi="Times New Roman" w:cs="Times New Roman"/>
                <w:bCs/>
                <w:sz w:val="20"/>
              </w:rPr>
              <w:t>will remain frozen</w:t>
            </w:r>
            <w:r w:rsidR="005E3313">
              <w:rPr>
                <w:rFonts w:ascii="Times New Roman" w:hAnsi="Times New Roman" w:cs="Times New Roman"/>
                <w:bCs/>
                <w:sz w:val="20"/>
              </w:rPr>
              <w:t xml:space="preserve"> for a further 3 years: </w:t>
            </w:r>
            <w:r w:rsidRPr="00410CCF">
              <w:rPr>
                <w:rFonts w:ascii="Times New Roman" w:hAnsi="Times New Roman" w:cs="Times New Roman"/>
                <w:bCs/>
                <w:sz w:val="20"/>
              </w:rPr>
              <w:t>to 2030</w:t>
            </w:r>
            <w:r w:rsidR="00250321">
              <w:rPr>
                <w:rFonts w:ascii="Times New Roman" w:hAnsi="Times New Roman" w:cs="Times New Roman"/>
                <w:bCs/>
                <w:sz w:val="20"/>
              </w:rPr>
              <w:t>/</w:t>
            </w:r>
            <w:r>
              <w:rPr>
                <w:rFonts w:ascii="Times New Roman" w:hAnsi="Times New Roman" w:cs="Times New Roman"/>
                <w:bCs/>
                <w:sz w:val="20"/>
              </w:rPr>
              <w:t>20</w:t>
            </w:r>
            <w:r w:rsidRPr="00410CCF">
              <w:rPr>
                <w:rFonts w:ascii="Times New Roman" w:hAnsi="Times New Roman" w:cs="Times New Roman"/>
                <w:bCs/>
                <w:sz w:val="20"/>
              </w:rPr>
              <w:t>31</w:t>
            </w:r>
          </w:p>
        </w:tc>
        <w:tc>
          <w:tcPr>
            <w:tcW w:w="3006" w:type="dxa"/>
          </w:tcPr>
          <w:p w14:paraId="3FA39F42" w14:textId="77777777" w:rsidR="005E3313" w:rsidRPr="005E3313" w:rsidRDefault="005E3313" w:rsidP="00410CCF">
            <w:pPr>
              <w:pStyle w:val="NoSpacing"/>
              <w:jc w:val="center"/>
              <w:rPr>
                <w:rFonts w:ascii="Times New Roman" w:hAnsi="Times New Roman" w:cs="Times New Roman"/>
                <w:b/>
                <w:sz w:val="10"/>
                <w:szCs w:val="10"/>
              </w:rPr>
            </w:pPr>
          </w:p>
          <w:p w14:paraId="11D3E56D" w14:textId="6361F291" w:rsidR="00410CCF" w:rsidRPr="004B062F" w:rsidRDefault="00410CCF" w:rsidP="00410CCF">
            <w:pPr>
              <w:pStyle w:val="NoSpacing"/>
              <w:jc w:val="center"/>
              <w:rPr>
                <w:rFonts w:ascii="Times New Roman" w:hAnsi="Times New Roman" w:cs="Times New Roman"/>
                <w:b/>
                <w:sz w:val="20"/>
              </w:rPr>
            </w:pPr>
            <w:r w:rsidRPr="00001956">
              <w:rPr>
                <w:rFonts w:ascii="Times New Roman" w:hAnsi="Times New Roman" w:cs="Times New Roman"/>
                <w:b/>
                <w:sz w:val="20"/>
              </w:rPr>
              <w:t>Immediate</w:t>
            </w:r>
          </w:p>
        </w:tc>
      </w:tr>
      <w:tr w:rsidR="00410CCF" w14:paraId="32174F52" w14:textId="77777777" w:rsidTr="00AD739E">
        <w:tc>
          <w:tcPr>
            <w:tcW w:w="3005" w:type="dxa"/>
          </w:tcPr>
          <w:p w14:paraId="5F48F4E2" w14:textId="77777777" w:rsidR="005E3313" w:rsidRPr="005E3313" w:rsidRDefault="005E3313" w:rsidP="00AD739E">
            <w:pPr>
              <w:pStyle w:val="NoSpacing"/>
              <w:jc w:val="center"/>
              <w:rPr>
                <w:rFonts w:ascii="Times New Roman" w:hAnsi="Times New Roman" w:cs="Times New Roman"/>
                <w:b/>
                <w:sz w:val="10"/>
                <w:szCs w:val="10"/>
              </w:rPr>
            </w:pPr>
          </w:p>
          <w:p w14:paraId="44BD624B" w14:textId="5F085F9D" w:rsidR="00410CCF" w:rsidRPr="002469B6" w:rsidRDefault="00410CCF" w:rsidP="00AD739E">
            <w:pPr>
              <w:pStyle w:val="NoSpacing"/>
              <w:jc w:val="center"/>
              <w:rPr>
                <w:rFonts w:ascii="Times New Roman" w:hAnsi="Times New Roman" w:cs="Times New Roman"/>
                <w:b/>
                <w:sz w:val="20"/>
              </w:rPr>
            </w:pPr>
            <w:r w:rsidRPr="00410CCF">
              <w:rPr>
                <w:rFonts w:ascii="Times New Roman" w:hAnsi="Times New Roman" w:cs="Times New Roman"/>
                <w:b/>
                <w:sz w:val="20"/>
              </w:rPr>
              <w:t>Property</w:t>
            </w:r>
            <w:r w:rsidRPr="00410CCF">
              <w:rPr>
                <w:rFonts w:ascii="Times New Roman" w:hAnsi="Times New Roman" w:cs="Times New Roman"/>
                <w:b/>
                <w:bCs/>
                <w:sz w:val="20"/>
              </w:rPr>
              <w:t xml:space="preserve">, </w:t>
            </w:r>
            <w:r w:rsidRPr="00410CCF">
              <w:rPr>
                <w:rFonts w:ascii="Times New Roman" w:hAnsi="Times New Roman" w:cs="Times New Roman"/>
                <w:b/>
                <w:sz w:val="20"/>
              </w:rPr>
              <w:t>Savings</w:t>
            </w:r>
            <w:r w:rsidRPr="00410CCF">
              <w:rPr>
                <w:rFonts w:ascii="Times New Roman" w:hAnsi="Times New Roman" w:cs="Times New Roman"/>
                <w:b/>
                <w:bCs/>
                <w:sz w:val="20"/>
              </w:rPr>
              <w:t xml:space="preserve"> and </w:t>
            </w:r>
            <w:r w:rsidRPr="00410CCF">
              <w:rPr>
                <w:rFonts w:ascii="Times New Roman" w:hAnsi="Times New Roman" w:cs="Times New Roman"/>
                <w:b/>
                <w:sz w:val="20"/>
              </w:rPr>
              <w:t>Dividends</w:t>
            </w:r>
            <w:r w:rsidRPr="00410CCF">
              <w:rPr>
                <w:rFonts w:ascii="Times New Roman" w:hAnsi="Times New Roman" w:cs="Times New Roman"/>
                <w:b/>
                <w:bCs/>
                <w:sz w:val="20"/>
              </w:rPr>
              <w:t xml:space="preserve"> </w:t>
            </w:r>
            <w:r w:rsidR="005E3313">
              <w:rPr>
                <w:rFonts w:ascii="Times New Roman" w:hAnsi="Times New Roman" w:cs="Times New Roman"/>
                <w:b/>
                <w:bCs/>
                <w:sz w:val="20"/>
              </w:rPr>
              <w:t>I</w:t>
            </w:r>
            <w:r w:rsidRPr="00410CCF">
              <w:rPr>
                <w:rFonts w:ascii="Times New Roman" w:hAnsi="Times New Roman" w:cs="Times New Roman"/>
                <w:b/>
                <w:bCs/>
                <w:sz w:val="20"/>
              </w:rPr>
              <w:t>ncome</w:t>
            </w:r>
          </w:p>
        </w:tc>
        <w:tc>
          <w:tcPr>
            <w:tcW w:w="3005" w:type="dxa"/>
          </w:tcPr>
          <w:p w14:paraId="3070B3B5" w14:textId="292E1D55" w:rsidR="00410CCF" w:rsidRDefault="00410CCF" w:rsidP="005E3313">
            <w:pPr>
              <w:pStyle w:val="NoSpacing"/>
              <w:jc w:val="center"/>
              <w:rPr>
                <w:rFonts w:ascii="Times New Roman" w:hAnsi="Times New Roman" w:cs="Times New Roman"/>
                <w:bCs/>
                <w:sz w:val="20"/>
              </w:rPr>
            </w:pPr>
            <w:r>
              <w:rPr>
                <w:rFonts w:ascii="Times New Roman" w:hAnsi="Times New Roman" w:cs="Times New Roman"/>
                <w:bCs/>
                <w:sz w:val="20"/>
              </w:rPr>
              <w:t>T</w:t>
            </w:r>
            <w:r w:rsidRPr="00410CCF">
              <w:rPr>
                <w:rFonts w:ascii="Times New Roman" w:hAnsi="Times New Roman" w:cs="Times New Roman"/>
                <w:bCs/>
                <w:sz w:val="20"/>
              </w:rPr>
              <w:t>he rate of Income Tax on these will increase by 2</w:t>
            </w:r>
            <w:r w:rsidR="00967EE0" w:rsidRPr="00410CCF">
              <w:rPr>
                <w:rFonts w:ascii="Times New Roman" w:hAnsi="Times New Roman" w:cs="Times New Roman"/>
                <w:bCs/>
                <w:sz w:val="20"/>
              </w:rPr>
              <w:t xml:space="preserve">% </w:t>
            </w:r>
            <w:r w:rsidR="00967EE0">
              <w:rPr>
                <w:rFonts w:ascii="Times New Roman" w:hAnsi="Times New Roman" w:cs="Times New Roman"/>
                <w:bCs/>
                <w:sz w:val="20"/>
              </w:rPr>
              <w:t>(</w:t>
            </w:r>
            <w:r w:rsidR="005E3313">
              <w:rPr>
                <w:rFonts w:ascii="Times New Roman" w:hAnsi="Times New Roman" w:cs="Times New Roman"/>
                <w:bCs/>
                <w:sz w:val="20"/>
              </w:rPr>
              <w:t>except the additional rate for dividends)</w:t>
            </w:r>
          </w:p>
        </w:tc>
        <w:tc>
          <w:tcPr>
            <w:tcW w:w="3006" w:type="dxa"/>
          </w:tcPr>
          <w:p w14:paraId="6EAB0623" w14:textId="3CD8716B" w:rsidR="002351B5" w:rsidRPr="00001956" w:rsidRDefault="00410CCF" w:rsidP="005E3313">
            <w:pPr>
              <w:pStyle w:val="NoSpacing"/>
              <w:jc w:val="center"/>
              <w:rPr>
                <w:rFonts w:ascii="Times New Roman" w:hAnsi="Times New Roman" w:cs="Times New Roman"/>
                <w:b/>
                <w:sz w:val="20"/>
              </w:rPr>
            </w:pPr>
            <w:r w:rsidRPr="004B062F">
              <w:rPr>
                <w:rFonts w:ascii="Times New Roman" w:hAnsi="Times New Roman" w:cs="Times New Roman"/>
                <w:b/>
                <w:sz w:val="20"/>
              </w:rPr>
              <w:t>April 202</w:t>
            </w:r>
            <w:r>
              <w:rPr>
                <w:rFonts w:ascii="Times New Roman" w:hAnsi="Times New Roman" w:cs="Times New Roman"/>
                <w:b/>
                <w:sz w:val="20"/>
              </w:rPr>
              <w:t>6</w:t>
            </w:r>
            <w:r w:rsidR="00E85928">
              <w:rPr>
                <w:rFonts w:ascii="Times New Roman" w:hAnsi="Times New Roman" w:cs="Times New Roman"/>
                <w:b/>
                <w:sz w:val="20"/>
              </w:rPr>
              <w:t xml:space="preserve"> for Dividend Income, April 2027 for Property &amp; Savings Income</w:t>
            </w:r>
          </w:p>
        </w:tc>
      </w:tr>
      <w:tr w:rsidR="00410CCF" w14:paraId="5DE7B558" w14:textId="77777777" w:rsidTr="00AD739E">
        <w:tc>
          <w:tcPr>
            <w:tcW w:w="3005" w:type="dxa"/>
          </w:tcPr>
          <w:p w14:paraId="62EBCD00" w14:textId="77777777" w:rsidR="005E3313" w:rsidRPr="005E3313" w:rsidRDefault="005E3313" w:rsidP="00410CCF">
            <w:pPr>
              <w:pStyle w:val="NoSpacing"/>
              <w:jc w:val="center"/>
              <w:rPr>
                <w:rFonts w:ascii="Times New Roman" w:hAnsi="Times New Roman" w:cs="Times New Roman"/>
                <w:b/>
                <w:color w:val="000000" w:themeColor="text1"/>
                <w:sz w:val="10"/>
                <w:szCs w:val="10"/>
              </w:rPr>
            </w:pPr>
          </w:p>
          <w:p w14:paraId="4120DF6B" w14:textId="22DBBCEE" w:rsidR="00410CCF" w:rsidRPr="00DA7599" w:rsidRDefault="00410CCF" w:rsidP="00410CCF">
            <w:pPr>
              <w:pStyle w:val="NoSpacing"/>
              <w:jc w:val="center"/>
              <w:rPr>
                <w:rFonts w:ascii="Times New Roman" w:hAnsi="Times New Roman" w:cs="Times New Roman"/>
                <w:b/>
                <w:color w:val="000000" w:themeColor="text1"/>
                <w:sz w:val="20"/>
              </w:rPr>
            </w:pPr>
            <w:r w:rsidRPr="00DA7599">
              <w:rPr>
                <w:rFonts w:ascii="Times New Roman" w:hAnsi="Times New Roman" w:cs="Times New Roman"/>
                <w:b/>
                <w:color w:val="000000" w:themeColor="text1"/>
                <w:sz w:val="20"/>
              </w:rPr>
              <w:t>Venture Capital Trusts</w:t>
            </w:r>
          </w:p>
        </w:tc>
        <w:tc>
          <w:tcPr>
            <w:tcW w:w="3005" w:type="dxa"/>
          </w:tcPr>
          <w:p w14:paraId="2527DD18" w14:textId="0CE75CB1" w:rsidR="00410CCF" w:rsidRPr="00DA7599" w:rsidRDefault="00410CCF" w:rsidP="005E3313">
            <w:pPr>
              <w:pStyle w:val="NoSpacing"/>
              <w:jc w:val="center"/>
              <w:rPr>
                <w:rFonts w:ascii="Times New Roman" w:hAnsi="Times New Roman" w:cs="Times New Roman"/>
                <w:bCs/>
                <w:color w:val="000000" w:themeColor="text1"/>
                <w:sz w:val="20"/>
              </w:rPr>
            </w:pPr>
            <w:r w:rsidRPr="00DA7599">
              <w:rPr>
                <w:rFonts w:ascii="Times New Roman" w:hAnsi="Times New Roman" w:cs="Times New Roman"/>
                <w:bCs/>
                <w:color w:val="000000" w:themeColor="text1"/>
                <w:sz w:val="20"/>
              </w:rPr>
              <w:t>Income Tax relief on investment amount reduced from 30% to 20%</w:t>
            </w:r>
          </w:p>
        </w:tc>
        <w:tc>
          <w:tcPr>
            <w:tcW w:w="3006" w:type="dxa"/>
          </w:tcPr>
          <w:p w14:paraId="101CBF25" w14:textId="77777777" w:rsidR="005E3313" w:rsidRPr="005E3313" w:rsidRDefault="005E3313" w:rsidP="00410CCF">
            <w:pPr>
              <w:pStyle w:val="NoSpacing"/>
              <w:jc w:val="center"/>
              <w:rPr>
                <w:rFonts w:ascii="Times New Roman" w:hAnsi="Times New Roman" w:cs="Times New Roman"/>
                <w:b/>
                <w:color w:val="000000" w:themeColor="text1"/>
                <w:sz w:val="10"/>
                <w:szCs w:val="10"/>
              </w:rPr>
            </w:pPr>
          </w:p>
          <w:p w14:paraId="0559B7AA" w14:textId="0B247157" w:rsidR="00410CCF" w:rsidRPr="00DA7599" w:rsidRDefault="00410CCF" w:rsidP="00410CCF">
            <w:pPr>
              <w:pStyle w:val="NoSpacing"/>
              <w:jc w:val="center"/>
              <w:rPr>
                <w:rFonts w:ascii="Times New Roman" w:hAnsi="Times New Roman" w:cs="Times New Roman"/>
                <w:b/>
                <w:color w:val="000000" w:themeColor="text1"/>
                <w:sz w:val="20"/>
              </w:rPr>
            </w:pPr>
            <w:r w:rsidRPr="00DA7599">
              <w:rPr>
                <w:rFonts w:ascii="Times New Roman" w:hAnsi="Times New Roman" w:cs="Times New Roman"/>
                <w:b/>
                <w:color w:val="000000" w:themeColor="text1"/>
                <w:sz w:val="20"/>
              </w:rPr>
              <w:t>April 2026</w:t>
            </w:r>
          </w:p>
        </w:tc>
      </w:tr>
      <w:tr w:rsidR="00410CCF" w14:paraId="52FA78CD" w14:textId="77777777" w:rsidTr="00AD739E">
        <w:tc>
          <w:tcPr>
            <w:tcW w:w="3005" w:type="dxa"/>
          </w:tcPr>
          <w:p w14:paraId="001E8F19" w14:textId="77777777" w:rsidR="005E3313" w:rsidRDefault="005E3313" w:rsidP="00AD739E">
            <w:pPr>
              <w:pStyle w:val="NoSpacing"/>
              <w:jc w:val="center"/>
              <w:rPr>
                <w:rFonts w:ascii="Times New Roman" w:hAnsi="Times New Roman" w:cs="Times New Roman"/>
                <w:b/>
                <w:sz w:val="20"/>
              </w:rPr>
            </w:pPr>
          </w:p>
          <w:p w14:paraId="3981F1A8" w14:textId="77777777" w:rsidR="005E3313" w:rsidRDefault="005E3313" w:rsidP="00AD739E">
            <w:pPr>
              <w:pStyle w:val="NoSpacing"/>
              <w:jc w:val="center"/>
              <w:rPr>
                <w:rFonts w:ascii="Times New Roman" w:hAnsi="Times New Roman" w:cs="Times New Roman"/>
                <w:b/>
                <w:sz w:val="20"/>
              </w:rPr>
            </w:pPr>
          </w:p>
          <w:p w14:paraId="5BE70AA3" w14:textId="2F6464F6" w:rsidR="00410CCF" w:rsidRDefault="00410CCF" w:rsidP="00AD739E">
            <w:pPr>
              <w:pStyle w:val="NoSpacing"/>
              <w:jc w:val="center"/>
              <w:rPr>
                <w:rFonts w:ascii="Times New Roman" w:hAnsi="Times New Roman" w:cs="Times New Roman"/>
                <w:b/>
                <w:sz w:val="20"/>
              </w:rPr>
            </w:pPr>
            <w:r w:rsidRPr="00410CCF">
              <w:rPr>
                <w:rFonts w:ascii="Times New Roman" w:hAnsi="Times New Roman" w:cs="Times New Roman"/>
                <w:b/>
                <w:sz w:val="20"/>
              </w:rPr>
              <w:t xml:space="preserve">ISA </w:t>
            </w:r>
            <w:r w:rsidR="005E3313">
              <w:rPr>
                <w:rFonts w:ascii="Times New Roman" w:hAnsi="Times New Roman" w:cs="Times New Roman"/>
                <w:b/>
                <w:sz w:val="20"/>
              </w:rPr>
              <w:t>A</w:t>
            </w:r>
            <w:r w:rsidRPr="00410CCF">
              <w:rPr>
                <w:rFonts w:ascii="Times New Roman" w:hAnsi="Times New Roman" w:cs="Times New Roman"/>
                <w:b/>
                <w:sz w:val="20"/>
              </w:rPr>
              <w:t>llowance</w:t>
            </w:r>
          </w:p>
          <w:p w14:paraId="434AD820" w14:textId="78C2A0E4" w:rsidR="00410CCF" w:rsidRPr="002469B6" w:rsidRDefault="00410CCF" w:rsidP="00AD739E">
            <w:pPr>
              <w:pStyle w:val="NoSpacing"/>
              <w:jc w:val="center"/>
              <w:rPr>
                <w:rFonts w:ascii="Times New Roman" w:hAnsi="Times New Roman" w:cs="Times New Roman"/>
                <w:b/>
                <w:sz w:val="20"/>
              </w:rPr>
            </w:pPr>
          </w:p>
        </w:tc>
        <w:tc>
          <w:tcPr>
            <w:tcW w:w="3005" w:type="dxa"/>
          </w:tcPr>
          <w:p w14:paraId="12832735" w14:textId="7299E32A" w:rsidR="005E3313" w:rsidRDefault="005E3313" w:rsidP="00410CCF">
            <w:pPr>
              <w:jc w:val="both"/>
              <w:rPr>
                <w:bCs/>
                <w:sz w:val="20"/>
              </w:rPr>
            </w:pPr>
            <w:r>
              <w:rPr>
                <w:bCs/>
                <w:sz w:val="20"/>
              </w:rPr>
              <w:t xml:space="preserve">Maximum Cash ISA: </w:t>
            </w:r>
            <w:r w:rsidR="00410CCF" w:rsidRPr="00410CCF">
              <w:rPr>
                <w:bCs/>
                <w:sz w:val="20"/>
              </w:rPr>
              <w:t>£12,000</w:t>
            </w:r>
            <w:r w:rsidR="00410CCF" w:rsidRPr="00634C25">
              <w:rPr>
                <w:bCs/>
                <w:color w:val="EE0000"/>
                <w:sz w:val="20"/>
              </w:rPr>
              <w:t xml:space="preserve"> </w:t>
            </w:r>
            <w:r w:rsidR="00634C25" w:rsidRPr="00634C25">
              <w:rPr>
                <w:bCs/>
                <w:color w:val="EE0000"/>
                <w:sz w:val="20"/>
              </w:rPr>
              <w:t>*</w:t>
            </w:r>
          </w:p>
          <w:p w14:paraId="646F27FD" w14:textId="49209C69" w:rsidR="005E3313" w:rsidRDefault="005E3313" w:rsidP="00410CCF">
            <w:pPr>
              <w:jc w:val="both"/>
              <w:rPr>
                <w:bCs/>
                <w:sz w:val="20"/>
              </w:rPr>
            </w:pPr>
            <w:r>
              <w:rPr>
                <w:bCs/>
                <w:sz w:val="20"/>
              </w:rPr>
              <w:t>R</w:t>
            </w:r>
            <w:r w:rsidR="00410CCF" w:rsidRPr="00410CCF">
              <w:rPr>
                <w:bCs/>
                <w:sz w:val="20"/>
              </w:rPr>
              <w:t xml:space="preserve">emaining £8,000 </w:t>
            </w:r>
            <w:r>
              <w:rPr>
                <w:bCs/>
                <w:sz w:val="20"/>
              </w:rPr>
              <w:t>can still be used via a</w:t>
            </w:r>
            <w:r w:rsidR="00410CCF" w:rsidRPr="00410CCF">
              <w:rPr>
                <w:bCs/>
                <w:sz w:val="20"/>
              </w:rPr>
              <w:t xml:space="preserve"> Stocks &amp; Shares ISA</w:t>
            </w:r>
          </w:p>
          <w:p w14:paraId="29522D93" w14:textId="4F212293" w:rsidR="00410CCF" w:rsidRDefault="00634C25" w:rsidP="005E3313">
            <w:pPr>
              <w:jc w:val="both"/>
              <w:rPr>
                <w:bCs/>
                <w:sz w:val="20"/>
              </w:rPr>
            </w:pPr>
            <w:r w:rsidRPr="00634C25">
              <w:rPr>
                <w:bCs/>
                <w:color w:val="EE0000"/>
                <w:sz w:val="20"/>
              </w:rPr>
              <w:t>*</w:t>
            </w:r>
            <w:r>
              <w:rPr>
                <w:bCs/>
                <w:color w:val="EE0000"/>
                <w:sz w:val="20"/>
              </w:rPr>
              <w:t xml:space="preserve"> </w:t>
            </w:r>
            <w:r w:rsidR="005E3313" w:rsidRPr="00634C25">
              <w:rPr>
                <w:color w:val="EE0000"/>
                <w:sz w:val="20"/>
                <w:szCs w:val="16"/>
              </w:rPr>
              <w:t>Maximum Cash ISA of £20,000 retained for</w:t>
            </w:r>
            <w:r w:rsidR="00410CCF" w:rsidRPr="00634C25">
              <w:rPr>
                <w:color w:val="EE0000"/>
                <w:sz w:val="20"/>
                <w:szCs w:val="16"/>
              </w:rPr>
              <w:t xml:space="preserve"> those aged 65</w:t>
            </w:r>
            <w:r w:rsidRPr="00634C25">
              <w:rPr>
                <w:color w:val="EE0000"/>
                <w:sz w:val="20"/>
                <w:szCs w:val="16"/>
              </w:rPr>
              <w:t xml:space="preserve"> and </w:t>
            </w:r>
            <w:r w:rsidRPr="00634C25">
              <w:rPr>
                <w:color w:val="EE0000"/>
                <w:sz w:val="20"/>
                <w:szCs w:val="16"/>
              </w:rPr>
              <w:t>over</w:t>
            </w:r>
          </w:p>
        </w:tc>
        <w:tc>
          <w:tcPr>
            <w:tcW w:w="3006" w:type="dxa"/>
          </w:tcPr>
          <w:p w14:paraId="261DEA96" w14:textId="77777777" w:rsidR="005E3313" w:rsidRDefault="005E3313" w:rsidP="00AD739E">
            <w:pPr>
              <w:pStyle w:val="NoSpacing"/>
              <w:jc w:val="center"/>
              <w:rPr>
                <w:rFonts w:ascii="Times New Roman" w:hAnsi="Times New Roman" w:cs="Times New Roman"/>
                <w:b/>
                <w:sz w:val="20"/>
              </w:rPr>
            </w:pPr>
          </w:p>
          <w:p w14:paraId="4919CC70" w14:textId="77777777" w:rsidR="005E3313" w:rsidRDefault="005E3313" w:rsidP="00AD739E">
            <w:pPr>
              <w:pStyle w:val="NoSpacing"/>
              <w:jc w:val="center"/>
              <w:rPr>
                <w:rFonts w:ascii="Times New Roman" w:hAnsi="Times New Roman" w:cs="Times New Roman"/>
                <w:b/>
                <w:sz w:val="20"/>
              </w:rPr>
            </w:pPr>
          </w:p>
          <w:p w14:paraId="50AB3419" w14:textId="64BD3151" w:rsidR="00410CCF" w:rsidRPr="00001956" w:rsidRDefault="00410CCF" w:rsidP="00AD739E">
            <w:pPr>
              <w:pStyle w:val="NoSpacing"/>
              <w:jc w:val="center"/>
              <w:rPr>
                <w:rFonts w:ascii="Times New Roman" w:hAnsi="Times New Roman" w:cs="Times New Roman"/>
                <w:b/>
                <w:sz w:val="20"/>
              </w:rPr>
            </w:pPr>
            <w:r w:rsidRPr="004B062F">
              <w:rPr>
                <w:rFonts w:ascii="Times New Roman" w:hAnsi="Times New Roman" w:cs="Times New Roman"/>
                <w:b/>
                <w:sz w:val="20"/>
              </w:rPr>
              <w:t>April 2027</w:t>
            </w:r>
          </w:p>
        </w:tc>
      </w:tr>
      <w:tr w:rsidR="00410CCF" w14:paraId="6E0EB9D0" w14:textId="77777777" w:rsidTr="00AD739E">
        <w:tc>
          <w:tcPr>
            <w:tcW w:w="3005" w:type="dxa"/>
          </w:tcPr>
          <w:p w14:paraId="6E2B3B09" w14:textId="77777777" w:rsidR="005E3313" w:rsidRPr="005E3313" w:rsidRDefault="005E3313" w:rsidP="00AD739E">
            <w:pPr>
              <w:pStyle w:val="NoSpacing"/>
              <w:jc w:val="center"/>
              <w:rPr>
                <w:rFonts w:ascii="Times New Roman" w:hAnsi="Times New Roman" w:cs="Times New Roman"/>
                <w:b/>
                <w:sz w:val="10"/>
                <w:szCs w:val="10"/>
              </w:rPr>
            </w:pPr>
          </w:p>
          <w:p w14:paraId="75269374" w14:textId="1E1386E8" w:rsidR="00410CCF" w:rsidRDefault="00410CCF" w:rsidP="00AD739E">
            <w:pPr>
              <w:pStyle w:val="NoSpacing"/>
              <w:jc w:val="center"/>
              <w:rPr>
                <w:rFonts w:ascii="Times New Roman" w:hAnsi="Times New Roman" w:cs="Times New Roman"/>
                <w:b/>
                <w:sz w:val="20"/>
              </w:rPr>
            </w:pPr>
            <w:r>
              <w:rPr>
                <w:rFonts w:ascii="Times New Roman" w:hAnsi="Times New Roman" w:cs="Times New Roman"/>
                <w:b/>
                <w:sz w:val="20"/>
              </w:rPr>
              <w:t>Salary</w:t>
            </w:r>
            <w:r w:rsidR="00A31695">
              <w:rPr>
                <w:rFonts w:ascii="Times New Roman" w:hAnsi="Times New Roman" w:cs="Times New Roman"/>
                <w:b/>
                <w:sz w:val="20"/>
              </w:rPr>
              <w:t xml:space="preserve"> </w:t>
            </w:r>
            <w:r w:rsidR="005E3313">
              <w:rPr>
                <w:rFonts w:ascii="Times New Roman" w:hAnsi="Times New Roman" w:cs="Times New Roman"/>
                <w:b/>
                <w:sz w:val="20"/>
              </w:rPr>
              <w:t>S</w:t>
            </w:r>
            <w:r>
              <w:rPr>
                <w:rFonts w:ascii="Times New Roman" w:hAnsi="Times New Roman" w:cs="Times New Roman"/>
                <w:b/>
                <w:sz w:val="20"/>
              </w:rPr>
              <w:t xml:space="preserve">acrifice </w:t>
            </w:r>
            <w:r w:rsidR="005E3313">
              <w:rPr>
                <w:rFonts w:ascii="Times New Roman" w:hAnsi="Times New Roman" w:cs="Times New Roman"/>
                <w:b/>
                <w:sz w:val="20"/>
              </w:rPr>
              <w:t>P</w:t>
            </w:r>
            <w:r>
              <w:rPr>
                <w:rFonts w:ascii="Times New Roman" w:hAnsi="Times New Roman" w:cs="Times New Roman"/>
                <w:b/>
                <w:sz w:val="20"/>
              </w:rPr>
              <w:t xml:space="preserve">ension </w:t>
            </w:r>
            <w:r w:rsidR="005E3313">
              <w:rPr>
                <w:rFonts w:ascii="Times New Roman" w:hAnsi="Times New Roman" w:cs="Times New Roman"/>
                <w:b/>
                <w:sz w:val="20"/>
              </w:rPr>
              <w:t>C</w:t>
            </w:r>
            <w:r>
              <w:rPr>
                <w:rFonts w:ascii="Times New Roman" w:hAnsi="Times New Roman" w:cs="Times New Roman"/>
                <w:b/>
                <w:sz w:val="20"/>
              </w:rPr>
              <w:t xml:space="preserve">ontributions </w:t>
            </w:r>
          </w:p>
          <w:p w14:paraId="6DF92284" w14:textId="1F23C50D" w:rsidR="00410CCF" w:rsidRPr="00FC3A9B" w:rsidRDefault="00410CCF" w:rsidP="00AD739E">
            <w:pPr>
              <w:pStyle w:val="NoSpacing"/>
              <w:jc w:val="center"/>
              <w:rPr>
                <w:rFonts w:ascii="Times New Roman" w:hAnsi="Times New Roman" w:cs="Times New Roman"/>
                <w:b/>
                <w:sz w:val="10"/>
                <w:szCs w:val="10"/>
              </w:rPr>
            </w:pPr>
          </w:p>
        </w:tc>
        <w:tc>
          <w:tcPr>
            <w:tcW w:w="3005" w:type="dxa"/>
          </w:tcPr>
          <w:p w14:paraId="09AE1E30" w14:textId="6F3D4F2E" w:rsidR="00410CCF" w:rsidRDefault="00410CCF" w:rsidP="005E3313">
            <w:pPr>
              <w:pStyle w:val="NoSpacing"/>
              <w:jc w:val="center"/>
              <w:rPr>
                <w:rFonts w:ascii="Times New Roman" w:hAnsi="Times New Roman" w:cs="Times New Roman"/>
                <w:bCs/>
                <w:sz w:val="20"/>
              </w:rPr>
            </w:pPr>
            <w:r>
              <w:rPr>
                <w:rFonts w:ascii="Times New Roman" w:hAnsi="Times New Roman" w:cs="Times New Roman"/>
                <w:bCs/>
                <w:sz w:val="20"/>
              </w:rPr>
              <w:t xml:space="preserve">Contributions </w:t>
            </w:r>
            <w:r w:rsidRPr="00410CCF">
              <w:rPr>
                <w:rFonts w:ascii="Times New Roman" w:hAnsi="Times New Roman" w:cs="Times New Roman"/>
                <w:bCs/>
                <w:sz w:val="20"/>
              </w:rPr>
              <w:t>above an annual £2,000 threshold will no longer be exempt from National Insurance</w:t>
            </w:r>
          </w:p>
        </w:tc>
        <w:tc>
          <w:tcPr>
            <w:tcW w:w="3006" w:type="dxa"/>
          </w:tcPr>
          <w:p w14:paraId="7C70E54A" w14:textId="77777777" w:rsidR="005E3313" w:rsidRDefault="005E3313" w:rsidP="00AD739E">
            <w:pPr>
              <w:pStyle w:val="NoSpacing"/>
              <w:jc w:val="center"/>
              <w:rPr>
                <w:rFonts w:ascii="Times New Roman" w:hAnsi="Times New Roman" w:cs="Times New Roman"/>
                <w:b/>
                <w:sz w:val="20"/>
              </w:rPr>
            </w:pPr>
          </w:p>
          <w:p w14:paraId="77C8D134" w14:textId="0B84B06C" w:rsidR="00410CCF" w:rsidRPr="00001956" w:rsidRDefault="00410CCF" w:rsidP="00AD739E">
            <w:pPr>
              <w:pStyle w:val="NoSpacing"/>
              <w:jc w:val="center"/>
              <w:rPr>
                <w:rFonts w:ascii="Times New Roman" w:hAnsi="Times New Roman" w:cs="Times New Roman"/>
                <w:b/>
                <w:sz w:val="20"/>
              </w:rPr>
            </w:pPr>
            <w:r w:rsidRPr="004B062F">
              <w:rPr>
                <w:rFonts w:ascii="Times New Roman" w:hAnsi="Times New Roman" w:cs="Times New Roman"/>
                <w:b/>
                <w:sz w:val="20"/>
              </w:rPr>
              <w:t>April 202</w:t>
            </w:r>
            <w:r>
              <w:rPr>
                <w:rFonts w:ascii="Times New Roman" w:hAnsi="Times New Roman" w:cs="Times New Roman"/>
                <w:b/>
                <w:sz w:val="20"/>
              </w:rPr>
              <w:t>9</w:t>
            </w:r>
          </w:p>
        </w:tc>
      </w:tr>
      <w:tr w:rsidR="0091638B" w14:paraId="7AA910EF" w14:textId="77777777" w:rsidTr="00AD739E">
        <w:tc>
          <w:tcPr>
            <w:tcW w:w="3005" w:type="dxa"/>
          </w:tcPr>
          <w:p w14:paraId="4EF4FB2F" w14:textId="77777777" w:rsidR="005E3313" w:rsidRDefault="005E3313" w:rsidP="00AD739E">
            <w:pPr>
              <w:pStyle w:val="NoSpacing"/>
              <w:jc w:val="center"/>
              <w:rPr>
                <w:rFonts w:ascii="Times New Roman" w:hAnsi="Times New Roman" w:cs="Times New Roman"/>
                <w:b/>
                <w:sz w:val="20"/>
              </w:rPr>
            </w:pPr>
          </w:p>
          <w:p w14:paraId="4A23DDE0" w14:textId="590CB877" w:rsidR="0091638B" w:rsidRDefault="005E3313" w:rsidP="00AD739E">
            <w:pPr>
              <w:pStyle w:val="NoSpacing"/>
              <w:jc w:val="center"/>
              <w:rPr>
                <w:rFonts w:ascii="Times New Roman" w:hAnsi="Times New Roman" w:cs="Times New Roman"/>
                <w:b/>
                <w:sz w:val="20"/>
              </w:rPr>
            </w:pPr>
            <w:r>
              <w:rPr>
                <w:rFonts w:ascii="Times New Roman" w:hAnsi="Times New Roman" w:cs="Times New Roman"/>
                <w:b/>
                <w:sz w:val="20"/>
              </w:rPr>
              <w:t xml:space="preserve">HVCTS (aka </w:t>
            </w:r>
            <w:r w:rsidR="0091638B">
              <w:rPr>
                <w:rFonts w:ascii="Times New Roman" w:hAnsi="Times New Roman" w:cs="Times New Roman"/>
                <w:b/>
                <w:sz w:val="20"/>
              </w:rPr>
              <w:t xml:space="preserve">Mansion </w:t>
            </w:r>
            <w:r>
              <w:rPr>
                <w:rFonts w:ascii="Times New Roman" w:hAnsi="Times New Roman" w:cs="Times New Roman"/>
                <w:b/>
                <w:sz w:val="20"/>
              </w:rPr>
              <w:t>T</w:t>
            </w:r>
            <w:r w:rsidR="0091638B">
              <w:rPr>
                <w:rFonts w:ascii="Times New Roman" w:hAnsi="Times New Roman" w:cs="Times New Roman"/>
                <w:b/>
                <w:sz w:val="20"/>
              </w:rPr>
              <w:t>ax</w:t>
            </w:r>
            <w:r>
              <w:rPr>
                <w:rFonts w:ascii="Times New Roman" w:hAnsi="Times New Roman" w:cs="Times New Roman"/>
                <w:b/>
                <w:sz w:val="20"/>
              </w:rPr>
              <w:t>)</w:t>
            </w:r>
          </w:p>
          <w:p w14:paraId="3D9B4271" w14:textId="77777777" w:rsidR="0091638B" w:rsidRDefault="0091638B" w:rsidP="00AD739E">
            <w:pPr>
              <w:pStyle w:val="NoSpacing"/>
              <w:jc w:val="center"/>
              <w:rPr>
                <w:rFonts w:ascii="Times New Roman" w:hAnsi="Times New Roman" w:cs="Times New Roman"/>
                <w:b/>
                <w:sz w:val="20"/>
              </w:rPr>
            </w:pPr>
          </w:p>
        </w:tc>
        <w:tc>
          <w:tcPr>
            <w:tcW w:w="3005" w:type="dxa"/>
          </w:tcPr>
          <w:p w14:paraId="0850C4EB" w14:textId="580D8C03" w:rsidR="0091638B" w:rsidRDefault="0091638B" w:rsidP="005E3313">
            <w:pPr>
              <w:pStyle w:val="NoSpacing"/>
              <w:jc w:val="center"/>
              <w:rPr>
                <w:rFonts w:ascii="Times New Roman" w:hAnsi="Times New Roman" w:cs="Times New Roman"/>
                <w:bCs/>
                <w:sz w:val="20"/>
              </w:rPr>
            </w:pPr>
            <w:r w:rsidRPr="0091638B">
              <w:rPr>
                <w:rFonts w:ascii="Times New Roman" w:hAnsi="Times New Roman" w:cs="Times New Roman"/>
                <w:bCs/>
                <w:sz w:val="20"/>
              </w:rPr>
              <w:t>High Value Council Tax Surcharge on properties worth £2 million or more</w:t>
            </w:r>
          </w:p>
        </w:tc>
        <w:tc>
          <w:tcPr>
            <w:tcW w:w="3006" w:type="dxa"/>
          </w:tcPr>
          <w:p w14:paraId="03C130CB" w14:textId="77777777" w:rsidR="005E3313" w:rsidRDefault="005E3313" w:rsidP="00AD739E">
            <w:pPr>
              <w:pStyle w:val="NoSpacing"/>
              <w:jc w:val="center"/>
              <w:rPr>
                <w:rFonts w:ascii="Times New Roman" w:hAnsi="Times New Roman" w:cs="Times New Roman"/>
                <w:b/>
                <w:sz w:val="20"/>
              </w:rPr>
            </w:pPr>
          </w:p>
          <w:p w14:paraId="1D9F1303" w14:textId="1AC146AE" w:rsidR="0091638B" w:rsidRPr="004B062F" w:rsidRDefault="0091638B" w:rsidP="00AD739E">
            <w:pPr>
              <w:pStyle w:val="NoSpacing"/>
              <w:jc w:val="center"/>
              <w:rPr>
                <w:rFonts w:ascii="Times New Roman" w:hAnsi="Times New Roman" w:cs="Times New Roman"/>
                <w:b/>
                <w:sz w:val="20"/>
              </w:rPr>
            </w:pPr>
            <w:r w:rsidRPr="004B062F">
              <w:rPr>
                <w:rFonts w:ascii="Times New Roman" w:hAnsi="Times New Roman" w:cs="Times New Roman"/>
                <w:b/>
                <w:sz w:val="20"/>
              </w:rPr>
              <w:t>April 202</w:t>
            </w:r>
            <w:r>
              <w:rPr>
                <w:rFonts w:ascii="Times New Roman" w:hAnsi="Times New Roman" w:cs="Times New Roman"/>
                <w:b/>
                <w:sz w:val="20"/>
              </w:rPr>
              <w:t>8</w:t>
            </w:r>
          </w:p>
        </w:tc>
      </w:tr>
    </w:tbl>
    <w:p w14:paraId="2BAA49BF" w14:textId="77777777" w:rsidR="00AD739E" w:rsidRDefault="00AD739E" w:rsidP="000351BB">
      <w:pPr>
        <w:pStyle w:val="NoSpacing"/>
        <w:jc w:val="both"/>
        <w:rPr>
          <w:rFonts w:ascii="Times New Roman" w:hAnsi="Times New Roman" w:cs="Times New Roman"/>
          <w:bCs/>
          <w:sz w:val="20"/>
        </w:rPr>
      </w:pPr>
    </w:p>
    <w:p w14:paraId="3909F8A0" w14:textId="77777777" w:rsidR="00CB7969" w:rsidRDefault="00CB7969" w:rsidP="000351BB">
      <w:pPr>
        <w:pStyle w:val="NoSpacing"/>
        <w:jc w:val="both"/>
        <w:rPr>
          <w:rFonts w:ascii="Times New Roman" w:hAnsi="Times New Roman" w:cs="Times New Roman"/>
          <w:bCs/>
          <w:sz w:val="20"/>
        </w:rPr>
      </w:pPr>
    </w:p>
    <w:p w14:paraId="5309F199" w14:textId="5DC36EB5" w:rsidR="00D53DA2" w:rsidRPr="00C40C2F" w:rsidRDefault="005E3313" w:rsidP="00D53DA2">
      <w:pPr>
        <w:pStyle w:val="NoSpacing"/>
        <w:jc w:val="both"/>
        <w:rPr>
          <w:rFonts w:ascii="Times New Roman" w:hAnsi="Times New Roman" w:cs="Times New Roman"/>
          <w:b/>
          <w:i/>
          <w:iCs/>
          <w:sz w:val="20"/>
        </w:rPr>
      </w:pPr>
      <w:r>
        <w:rPr>
          <w:rFonts w:ascii="Times New Roman" w:hAnsi="Times New Roman" w:cs="Times New Roman"/>
          <w:b/>
          <w:i/>
          <w:iCs/>
          <w:sz w:val="20"/>
        </w:rPr>
        <w:t>Please note:</w:t>
      </w:r>
      <w:r w:rsidR="00D53DA2" w:rsidRPr="00C40C2F">
        <w:rPr>
          <w:rFonts w:ascii="Times New Roman" w:hAnsi="Times New Roman" w:cs="Times New Roman"/>
          <w:b/>
          <w:i/>
          <w:iCs/>
          <w:sz w:val="20"/>
        </w:rPr>
        <w:t xml:space="preserve"> a number of changes announced are not effective immediately, which afford</w:t>
      </w:r>
      <w:r w:rsidR="002469B6">
        <w:rPr>
          <w:rFonts w:ascii="Times New Roman" w:hAnsi="Times New Roman" w:cs="Times New Roman"/>
          <w:b/>
          <w:i/>
          <w:iCs/>
          <w:sz w:val="20"/>
        </w:rPr>
        <w:t>s</w:t>
      </w:r>
      <w:r w:rsidR="00D53DA2" w:rsidRPr="00C40C2F">
        <w:rPr>
          <w:rFonts w:ascii="Times New Roman" w:hAnsi="Times New Roman" w:cs="Times New Roman"/>
          <w:b/>
          <w:i/>
          <w:iCs/>
          <w:sz w:val="20"/>
        </w:rPr>
        <w:t xml:space="preserve"> us </w:t>
      </w:r>
      <w:r w:rsidR="002B64EA">
        <w:rPr>
          <w:rFonts w:ascii="Times New Roman" w:hAnsi="Times New Roman" w:cs="Times New Roman"/>
          <w:b/>
          <w:i/>
          <w:iCs/>
          <w:sz w:val="20"/>
        </w:rPr>
        <w:t xml:space="preserve">and our </w:t>
      </w:r>
      <w:r w:rsidR="00D53DA2" w:rsidRPr="00C40C2F">
        <w:rPr>
          <w:rFonts w:ascii="Times New Roman" w:hAnsi="Times New Roman" w:cs="Times New Roman"/>
          <w:b/>
          <w:i/>
          <w:iCs/>
          <w:sz w:val="20"/>
        </w:rPr>
        <w:t xml:space="preserve">clients time to </w:t>
      </w:r>
      <w:r w:rsidR="002469B6">
        <w:rPr>
          <w:rFonts w:ascii="Times New Roman" w:hAnsi="Times New Roman" w:cs="Times New Roman"/>
          <w:b/>
          <w:i/>
          <w:iCs/>
          <w:sz w:val="20"/>
        </w:rPr>
        <w:t>plan around the</w:t>
      </w:r>
      <w:r w:rsidR="002B64EA">
        <w:rPr>
          <w:rFonts w:ascii="Times New Roman" w:hAnsi="Times New Roman" w:cs="Times New Roman"/>
          <w:b/>
          <w:i/>
          <w:iCs/>
          <w:sz w:val="20"/>
        </w:rPr>
        <w:t>m</w:t>
      </w:r>
      <w:r w:rsidR="002469B6">
        <w:rPr>
          <w:rFonts w:ascii="Times New Roman" w:hAnsi="Times New Roman" w:cs="Times New Roman"/>
          <w:b/>
          <w:i/>
          <w:iCs/>
          <w:sz w:val="20"/>
        </w:rPr>
        <w:t>.</w:t>
      </w:r>
    </w:p>
    <w:p w14:paraId="06D7CE0F" w14:textId="77777777" w:rsidR="00410CCF" w:rsidRPr="005E3313" w:rsidRDefault="00410CCF" w:rsidP="00FE371C">
      <w:pPr>
        <w:pStyle w:val="NoSpacing"/>
        <w:jc w:val="both"/>
        <w:rPr>
          <w:rFonts w:ascii="Times New Roman" w:hAnsi="Times New Roman" w:cs="Times New Roman"/>
          <w:b/>
          <w:sz w:val="20"/>
          <w:szCs w:val="20"/>
        </w:rPr>
      </w:pPr>
    </w:p>
    <w:p w14:paraId="2BEE9FDD" w14:textId="77777777" w:rsidR="005E3313" w:rsidRPr="005E3313" w:rsidRDefault="005E3313" w:rsidP="00FE371C">
      <w:pPr>
        <w:pStyle w:val="NoSpacing"/>
        <w:jc w:val="both"/>
        <w:rPr>
          <w:rFonts w:ascii="Times New Roman" w:hAnsi="Times New Roman" w:cs="Times New Roman"/>
          <w:b/>
          <w:sz w:val="20"/>
          <w:szCs w:val="20"/>
        </w:rPr>
      </w:pPr>
    </w:p>
    <w:p w14:paraId="67610514" w14:textId="3760DA81" w:rsidR="005E3313" w:rsidRPr="00CB7969" w:rsidRDefault="005E3313" w:rsidP="00FE371C">
      <w:pPr>
        <w:pStyle w:val="NoSpacing"/>
        <w:jc w:val="both"/>
        <w:rPr>
          <w:rFonts w:ascii="Times New Roman" w:hAnsi="Times New Roman" w:cs="Times New Roman"/>
          <w:bCs/>
          <w:sz w:val="20"/>
          <w:szCs w:val="20"/>
        </w:rPr>
      </w:pPr>
      <w:r w:rsidRPr="00CB7969">
        <w:rPr>
          <w:rFonts w:ascii="Times New Roman" w:hAnsi="Times New Roman" w:cs="Times New Roman"/>
          <w:bCs/>
          <w:sz w:val="20"/>
          <w:szCs w:val="20"/>
        </w:rPr>
        <w:t>The following pages look at these measures in greater detail.</w:t>
      </w:r>
    </w:p>
    <w:p w14:paraId="0CDD1497" w14:textId="77777777" w:rsidR="00410CCF" w:rsidRPr="00CB7969" w:rsidRDefault="00410CCF" w:rsidP="00FE371C">
      <w:pPr>
        <w:pStyle w:val="NoSpacing"/>
        <w:jc w:val="both"/>
        <w:rPr>
          <w:rFonts w:ascii="Times New Roman" w:hAnsi="Times New Roman" w:cs="Times New Roman"/>
          <w:bCs/>
          <w:sz w:val="20"/>
          <w:szCs w:val="20"/>
        </w:rPr>
      </w:pPr>
    </w:p>
    <w:p w14:paraId="65D7854F" w14:textId="77777777" w:rsidR="00E85928" w:rsidRDefault="00E85928" w:rsidP="00FE371C">
      <w:pPr>
        <w:pStyle w:val="NoSpacing"/>
        <w:jc w:val="both"/>
        <w:rPr>
          <w:rFonts w:ascii="Times New Roman" w:hAnsi="Times New Roman" w:cs="Times New Roman"/>
          <w:bCs/>
          <w:sz w:val="20"/>
          <w:szCs w:val="20"/>
        </w:rPr>
      </w:pPr>
    </w:p>
    <w:p w14:paraId="6CEF4DCD" w14:textId="77777777" w:rsidR="00E85928" w:rsidRDefault="00E85928" w:rsidP="00FE371C">
      <w:pPr>
        <w:pStyle w:val="NoSpacing"/>
        <w:jc w:val="both"/>
        <w:rPr>
          <w:rFonts w:ascii="Times New Roman" w:hAnsi="Times New Roman" w:cs="Times New Roman"/>
          <w:bCs/>
          <w:sz w:val="20"/>
          <w:szCs w:val="20"/>
        </w:rPr>
      </w:pPr>
    </w:p>
    <w:p w14:paraId="1541CF9B" w14:textId="77777777" w:rsidR="005E3313" w:rsidRDefault="005E3313" w:rsidP="00FE371C">
      <w:pPr>
        <w:pStyle w:val="NoSpacing"/>
        <w:jc w:val="both"/>
        <w:rPr>
          <w:rFonts w:ascii="Times New Roman" w:hAnsi="Times New Roman" w:cs="Times New Roman"/>
          <w:bCs/>
          <w:sz w:val="20"/>
          <w:szCs w:val="20"/>
        </w:rPr>
      </w:pPr>
    </w:p>
    <w:p w14:paraId="05B63BBF" w14:textId="77777777" w:rsidR="005E3313" w:rsidRDefault="005E3313" w:rsidP="00FE371C">
      <w:pPr>
        <w:pStyle w:val="NoSpacing"/>
        <w:jc w:val="both"/>
        <w:rPr>
          <w:rFonts w:ascii="Times New Roman" w:hAnsi="Times New Roman" w:cs="Times New Roman"/>
          <w:bCs/>
          <w:sz w:val="20"/>
          <w:szCs w:val="20"/>
        </w:rPr>
      </w:pPr>
    </w:p>
    <w:p w14:paraId="239EA860" w14:textId="77777777" w:rsidR="005E3313" w:rsidRDefault="005E3313" w:rsidP="00FE371C">
      <w:pPr>
        <w:pStyle w:val="NoSpacing"/>
        <w:jc w:val="both"/>
        <w:rPr>
          <w:rFonts w:ascii="Times New Roman" w:hAnsi="Times New Roman" w:cs="Times New Roman"/>
          <w:bCs/>
          <w:sz w:val="20"/>
          <w:szCs w:val="20"/>
        </w:rPr>
      </w:pPr>
    </w:p>
    <w:p w14:paraId="6F3041ED" w14:textId="77777777" w:rsidR="005E3313" w:rsidRDefault="005E3313" w:rsidP="00FE371C">
      <w:pPr>
        <w:pStyle w:val="NoSpacing"/>
        <w:jc w:val="both"/>
        <w:rPr>
          <w:rFonts w:ascii="Times New Roman" w:hAnsi="Times New Roman" w:cs="Times New Roman"/>
          <w:bCs/>
          <w:sz w:val="20"/>
          <w:szCs w:val="20"/>
        </w:rPr>
      </w:pPr>
    </w:p>
    <w:p w14:paraId="1BBA5284" w14:textId="77777777" w:rsidR="005E3313" w:rsidRDefault="005E3313" w:rsidP="00FE371C">
      <w:pPr>
        <w:pStyle w:val="NoSpacing"/>
        <w:jc w:val="both"/>
        <w:rPr>
          <w:rFonts w:ascii="Times New Roman" w:hAnsi="Times New Roman" w:cs="Times New Roman"/>
          <w:bCs/>
          <w:sz w:val="20"/>
          <w:szCs w:val="20"/>
        </w:rPr>
      </w:pPr>
    </w:p>
    <w:p w14:paraId="4A147DBA" w14:textId="77777777" w:rsidR="005E3313" w:rsidRDefault="005E3313" w:rsidP="00FE371C">
      <w:pPr>
        <w:pStyle w:val="NoSpacing"/>
        <w:jc w:val="both"/>
        <w:rPr>
          <w:rFonts w:ascii="Times New Roman" w:hAnsi="Times New Roman" w:cs="Times New Roman"/>
          <w:bCs/>
          <w:sz w:val="20"/>
          <w:szCs w:val="20"/>
        </w:rPr>
      </w:pPr>
    </w:p>
    <w:p w14:paraId="1318B82C" w14:textId="77777777" w:rsidR="005E3313" w:rsidRDefault="005E3313" w:rsidP="00FE371C">
      <w:pPr>
        <w:pStyle w:val="NoSpacing"/>
        <w:jc w:val="both"/>
        <w:rPr>
          <w:rFonts w:ascii="Times New Roman" w:hAnsi="Times New Roman" w:cs="Times New Roman"/>
          <w:bCs/>
          <w:sz w:val="20"/>
          <w:szCs w:val="20"/>
        </w:rPr>
      </w:pPr>
    </w:p>
    <w:p w14:paraId="5474D82F" w14:textId="77777777" w:rsidR="005E3313" w:rsidRDefault="005E3313" w:rsidP="00FE371C">
      <w:pPr>
        <w:pStyle w:val="NoSpacing"/>
        <w:jc w:val="both"/>
        <w:rPr>
          <w:rFonts w:ascii="Times New Roman" w:hAnsi="Times New Roman" w:cs="Times New Roman"/>
          <w:bCs/>
          <w:sz w:val="20"/>
          <w:szCs w:val="20"/>
        </w:rPr>
      </w:pPr>
    </w:p>
    <w:p w14:paraId="2F7B1600" w14:textId="77777777" w:rsidR="00087757" w:rsidRPr="00C7128D" w:rsidRDefault="00087757" w:rsidP="00786DD8">
      <w:pPr>
        <w:pStyle w:val="NoSpacing"/>
        <w:ind w:left="360"/>
        <w:jc w:val="both"/>
        <w:rPr>
          <w:rFonts w:ascii="Times New Roman" w:hAnsi="Times New Roman" w:cs="Times New Roman"/>
          <w:bCs/>
          <w:sz w:val="20"/>
          <w:szCs w:val="20"/>
        </w:rPr>
      </w:pPr>
    </w:p>
    <w:p w14:paraId="23B38546" w14:textId="19BC79F8" w:rsidR="00786DD8" w:rsidRPr="005E2F2F" w:rsidRDefault="00786DD8" w:rsidP="00786DD8">
      <w:pPr>
        <w:pStyle w:val="NoSpacing"/>
        <w:shd w:val="clear" w:color="auto" w:fill="336699"/>
        <w:rPr>
          <w:rFonts w:ascii="Times New Roman" w:hAnsi="Times New Roman" w:cs="Times New Roman"/>
          <w:sz w:val="20"/>
          <w:szCs w:val="20"/>
        </w:rPr>
      </w:pPr>
      <w:r w:rsidRPr="009C032A">
        <w:rPr>
          <w:rFonts w:ascii="Times New Roman" w:hAnsi="Times New Roman" w:cs="Times New Roman"/>
          <w:b/>
          <w:color w:val="FFFFFF" w:themeColor="background1"/>
          <w:sz w:val="20"/>
          <w:szCs w:val="20"/>
        </w:rPr>
        <w:t xml:space="preserve">1. </w:t>
      </w:r>
      <w:r w:rsidRPr="003E2D63">
        <w:rPr>
          <w:rFonts w:ascii="Times New Roman" w:hAnsi="Times New Roman" w:cs="Times New Roman"/>
          <w:b/>
          <w:color w:val="FFFFFF" w:themeColor="background1"/>
          <w:sz w:val="20"/>
          <w:szCs w:val="20"/>
        </w:rPr>
        <w:t xml:space="preserve">Income Tax </w:t>
      </w:r>
      <w:r w:rsidR="00CB7969">
        <w:rPr>
          <w:rFonts w:ascii="Times New Roman" w:hAnsi="Times New Roman" w:cs="Times New Roman"/>
          <w:b/>
          <w:color w:val="FFFFFF" w:themeColor="background1"/>
          <w:sz w:val="20"/>
          <w:szCs w:val="20"/>
        </w:rPr>
        <w:t>T</w:t>
      </w:r>
      <w:r w:rsidRPr="003E2D63">
        <w:rPr>
          <w:rFonts w:ascii="Times New Roman" w:hAnsi="Times New Roman" w:cs="Times New Roman"/>
          <w:b/>
          <w:color w:val="FFFFFF" w:themeColor="background1"/>
          <w:sz w:val="20"/>
          <w:szCs w:val="20"/>
        </w:rPr>
        <w:t>hresholds</w:t>
      </w:r>
      <w:r>
        <w:rPr>
          <w:rFonts w:ascii="Times New Roman" w:hAnsi="Times New Roman" w:cs="Times New Roman"/>
          <w:b/>
          <w:color w:val="FFFFFF" w:themeColor="background1"/>
          <w:sz w:val="20"/>
          <w:szCs w:val="20"/>
        </w:rPr>
        <w:t xml:space="preserve"> </w:t>
      </w:r>
    </w:p>
    <w:p w14:paraId="390C8128" w14:textId="77777777" w:rsidR="00786DD8" w:rsidRDefault="00786DD8" w:rsidP="00786DD8">
      <w:pPr>
        <w:pStyle w:val="NoSpacing"/>
        <w:shd w:val="clear" w:color="auto" w:fill="FFFFFF" w:themeFill="background1"/>
        <w:jc w:val="both"/>
        <w:rPr>
          <w:rFonts w:ascii="Times New Roman" w:hAnsi="Times New Roman" w:cs="Times New Roman"/>
          <w:b/>
          <w:bCs/>
          <w:sz w:val="20"/>
          <w:szCs w:val="20"/>
        </w:rPr>
      </w:pPr>
    </w:p>
    <w:p w14:paraId="2FC3B43F" w14:textId="77777777" w:rsidR="00786DD8" w:rsidRPr="00AD739E" w:rsidRDefault="00786DD8" w:rsidP="00786DD8">
      <w:pPr>
        <w:pStyle w:val="NoSpacing"/>
        <w:shd w:val="clear" w:color="auto" w:fill="D9D9D9" w:themeFill="background1" w:themeFillShade="D9"/>
        <w:jc w:val="both"/>
        <w:rPr>
          <w:rFonts w:ascii="Times New Roman" w:hAnsi="Times New Roman" w:cs="Times New Roman"/>
          <w:b/>
          <w:bCs/>
          <w:sz w:val="20"/>
          <w:szCs w:val="20"/>
        </w:rPr>
      </w:pPr>
      <w:r>
        <w:rPr>
          <w:rFonts w:ascii="Times New Roman" w:hAnsi="Times New Roman" w:cs="Times New Roman"/>
          <w:b/>
          <w:bCs/>
          <w:sz w:val="20"/>
          <w:szCs w:val="20"/>
        </w:rPr>
        <w:t>1</w:t>
      </w:r>
      <w:r w:rsidRPr="00AD739E">
        <w:rPr>
          <w:rFonts w:ascii="Times New Roman" w:hAnsi="Times New Roman" w:cs="Times New Roman"/>
          <w:b/>
          <w:bCs/>
          <w:sz w:val="20"/>
          <w:szCs w:val="20"/>
        </w:rPr>
        <w:t xml:space="preserve">.1 Announcement </w:t>
      </w:r>
    </w:p>
    <w:p w14:paraId="01E6B121" w14:textId="77777777" w:rsidR="00786DD8" w:rsidRDefault="00786DD8" w:rsidP="00786DD8">
      <w:pPr>
        <w:pStyle w:val="NoSpacing"/>
        <w:jc w:val="both"/>
        <w:rPr>
          <w:rFonts w:ascii="Times New Roman" w:hAnsi="Times New Roman" w:cs="Times New Roman"/>
          <w:bCs/>
          <w:sz w:val="20"/>
        </w:rPr>
      </w:pPr>
    </w:p>
    <w:p w14:paraId="0A25E31B" w14:textId="421CB735" w:rsidR="00786DD8" w:rsidRDefault="00786DD8" w:rsidP="0083002F">
      <w:pPr>
        <w:pStyle w:val="NoSpacing"/>
        <w:numPr>
          <w:ilvl w:val="0"/>
          <w:numId w:val="5"/>
        </w:numPr>
        <w:jc w:val="both"/>
        <w:rPr>
          <w:rFonts w:ascii="Times New Roman" w:hAnsi="Times New Roman" w:cs="Times New Roman"/>
          <w:bCs/>
          <w:sz w:val="20"/>
        </w:rPr>
      </w:pPr>
      <w:r w:rsidRPr="00E85928">
        <w:rPr>
          <w:rFonts w:ascii="Times New Roman" w:hAnsi="Times New Roman" w:cs="Times New Roman"/>
          <w:bCs/>
          <w:sz w:val="20"/>
        </w:rPr>
        <w:t xml:space="preserve">As widely predicted, the Chancellor confirmed that the </w:t>
      </w:r>
      <w:r w:rsidR="00060851">
        <w:rPr>
          <w:rFonts w:ascii="Times New Roman" w:hAnsi="Times New Roman" w:cs="Times New Roman"/>
          <w:bCs/>
          <w:sz w:val="20"/>
        </w:rPr>
        <w:t>P</w:t>
      </w:r>
      <w:r w:rsidRPr="00E85928">
        <w:rPr>
          <w:rFonts w:ascii="Times New Roman" w:hAnsi="Times New Roman" w:cs="Times New Roman"/>
          <w:bCs/>
          <w:sz w:val="20"/>
        </w:rPr>
        <w:t xml:space="preserve">ersonal </w:t>
      </w:r>
      <w:r w:rsidR="00060851">
        <w:rPr>
          <w:rFonts w:ascii="Times New Roman" w:hAnsi="Times New Roman" w:cs="Times New Roman"/>
          <w:bCs/>
          <w:sz w:val="20"/>
        </w:rPr>
        <w:t>A</w:t>
      </w:r>
      <w:r w:rsidRPr="00E85928">
        <w:rPr>
          <w:rFonts w:ascii="Times New Roman" w:hAnsi="Times New Roman" w:cs="Times New Roman"/>
          <w:bCs/>
          <w:sz w:val="20"/>
        </w:rPr>
        <w:t xml:space="preserve">llowance, </w:t>
      </w:r>
      <w:r w:rsidR="00CB7969">
        <w:rPr>
          <w:rFonts w:ascii="Times New Roman" w:hAnsi="Times New Roman" w:cs="Times New Roman"/>
          <w:bCs/>
          <w:sz w:val="20"/>
        </w:rPr>
        <w:t>h</w:t>
      </w:r>
      <w:r w:rsidRPr="00E85928">
        <w:rPr>
          <w:rFonts w:ascii="Times New Roman" w:hAnsi="Times New Roman" w:cs="Times New Roman"/>
          <w:bCs/>
          <w:sz w:val="20"/>
        </w:rPr>
        <w:t xml:space="preserve">igher rate threshold and </w:t>
      </w:r>
      <w:r w:rsidR="00CB7969">
        <w:rPr>
          <w:rFonts w:ascii="Times New Roman" w:hAnsi="Times New Roman" w:cs="Times New Roman"/>
          <w:bCs/>
          <w:sz w:val="20"/>
        </w:rPr>
        <w:t>a</w:t>
      </w:r>
      <w:r w:rsidRPr="00E85928">
        <w:rPr>
          <w:rFonts w:ascii="Times New Roman" w:hAnsi="Times New Roman" w:cs="Times New Roman"/>
          <w:bCs/>
          <w:sz w:val="20"/>
        </w:rPr>
        <w:t>dditional rate threshold will be frozen until 2030</w:t>
      </w:r>
      <w:r w:rsidR="00CB7969">
        <w:rPr>
          <w:rFonts w:ascii="Times New Roman" w:hAnsi="Times New Roman" w:cs="Times New Roman"/>
          <w:bCs/>
          <w:sz w:val="20"/>
        </w:rPr>
        <w:t>/</w:t>
      </w:r>
      <w:r w:rsidRPr="00E85928">
        <w:rPr>
          <w:rFonts w:ascii="Times New Roman" w:hAnsi="Times New Roman" w:cs="Times New Roman"/>
          <w:bCs/>
          <w:sz w:val="20"/>
        </w:rPr>
        <w:t>31. The thresholds for Scotland will be confirmed in the Scottish Budget in January 2026.</w:t>
      </w:r>
    </w:p>
    <w:p w14:paraId="2A2B8BE2" w14:textId="77777777" w:rsidR="00786DD8" w:rsidRPr="00681709" w:rsidRDefault="00786DD8" w:rsidP="00786DD8">
      <w:pPr>
        <w:pStyle w:val="NoSpacing"/>
        <w:jc w:val="both"/>
        <w:rPr>
          <w:rFonts w:ascii="Times New Roman" w:hAnsi="Times New Roman" w:cs="Times New Roman"/>
          <w:bCs/>
          <w:sz w:val="20"/>
        </w:rPr>
      </w:pPr>
    </w:p>
    <w:p w14:paraId="63A22C60" w14:textId="77777777" w:rsidR="00786DD8" w:rsidRPr="00AD739E" w:rsidRDefault="00786DD8" w:rsidP="00786DD8">
      <w:pPr>
        <w:pStyle w:val="NoSpacing"/>
        <w:shd w:val="clear" w:color="auto" w:fill="D9D9D9" w:themeFill="background1" w:themeFillShade="D9"/>
        <w:jc w:val="both"/>
        <w:rPr>
          <w:rFonts w:ascii="Times New Roman" w:hAnsi="Times New Roman" w:cs="Times New Roman"/>
          <w:b/>
          <w:bCs/>
          <w:sz w:val="20"/>
          <w:szCs w:val="20"/>
        </w:rPr>
      </w:pPr>
      <w:r>
        <w:rPr>
          <w:rFonts w:ascii="Times New Roman" w:hAnsi="Times New Roman" w:cs="Times New Roman"/>
          <w:b/>
          <w:bCs/>
          <w:sz w:val="20"/>
          <w:szCs w:val="20"/>
        </w:rPr>
        <w:t>1</w:t>
      </w:r>
      <w:r w:rsidRPr="00AD739E">
        <w:rPr>
          <w:rFonts w:ascii="Times New Roman" w:hAnsi="Times New Roman" w:cs="Times New Roman"/>
          <w:b/>
          <w:bCs/>
          <w:sz w:val="20"/>
          <w:szCs w:val="20"/>
        </w:rPr>
        <w:t>.</w:t>
      </w:r>
      <w:r>
        <w:rPr>
          <w:rFonts w:ascii="Times New Roman" w:hAnsi="Times New Roman" w:cs="Times New Roman"/>
          <w:b/>
          <w:bCs/>
          <w:sz w:val="20"/>
          <w:szCs w:val="20"/>
        </w:rPr>
        <w:t>2</w:t>
      </w:r>
      <w:r w:rsidRPr="00AD739E">
        <w:rPr>
          <w:rFonts w:ascii="Times New Roman" w:hAnsi="Times New Roman" w:cs="Times New Roman"/>
          <w:b/>
          <w:bCs/>
          <w:sz w:val="20"/>
          <w:szCs w:val="20"/>
        </w:rPr>
        <w:t xml:space="preserve"> </w:t>
      </w:r>
      <w:r>
        <w:rPr>
          <w:rFonts w:ascii="Times New Roman" w:hAnsi="Times New Roman" w:cs="Times New Roman"/>
          <w:b/>
          <w:bCs/>
          <w:sz w:val="20"/>
          <w:szCs w:val="20"/>
        </w:rPr>
        <w:t>Impact</w:t>
      </w:r>
    </w:p>
    <w:p w14:paraId="03E7816D" w14:textId="77777777" w:rsidR="00786DD8" w:rsidRDefault="00786DD8" w:rsidP="00786DD8">
      <w:pPr>
        <w:pStyle w:val="NoSpacing"/>
        <w:jc w:val="both"/>
        <w:rPr>
          <w:rFonts w:ascii="Times New Roman" w:hAnsi="Times New Roman" w:cs="Times New Roman"/>
          <w:bCs/>
          <w:sz w:val="20"/>
        </w:rPr>
      </w:pPr>
    </w:p>
    <w:p w14:paraId="1530B805" w14:textId="036391BE" w:rsidR="00786DD8" w:rsidRPr="00786DD8" w:rsidRDefault="00786DD8" w:rsidP="0083002F">
      <w:pPr>
        <w:pStyle w:val="NoSpacing"/>
        <w:numPr>
          <w:ilvl w:val="0"/>
          <w:numId w:val="2"/>
        </w:numPr>
        <w:jc w:val="both"/>
        <w:rPr>
          <w:rFonts w:ascii="Times New Roman" w:hAnsi="Times New Roman" w:cs="Times New Roman"/>
          <w:bCs/>
          <w:sz w:val="20"/>
        </w:rPr>
      </w:pPr>
      <w:r w:rsidRPr="00786DD8">
        <w:rPr>
          <w:rFonts w:ascii="Times New Roman" w:hAnsi="Times New Roman" w:cs="Times New Roman"/>
          <w:bCs/>
          <w:sz w:val="20"/>
        </w:rPr>
        <w:t xml:space="preserve">Income tax threshold and </w:t>
      </w:r>
      <w:r w:rsidR="00060851">
        <w:rPr>
          <w:rFonts w:ascii="Times New Roman" w:hAnsi="Times New Roman" w:cs="Times New Roman"/>
          <w:bCs/>
          <w:sz w:val="20"/>
        </w:rPr>
        <w:t>P</w:t>
      </w:r>
      <w:r w:rsidRPr="00786DD8">
        <w:rPr>
          <w:rFonts w:ascii="Times New Roman" w:hAnsi="Times New Roman" w:cs="Times New Roman"/>
          <w:bCs/>
          <w:sz w:val="20"/>
        </w:rPr>
        <w:t xml:space="preserve">ersonal </w:t>
      </w:r>
      <w:r w:rsidR="00060851">
        <w:rPr>
          <w:rFonts w:ascii="Times New Roman" w:hAnsi="Times New Roman" w:cs="Times New Roman"/>
          <w:bCs/>
          <w:sz w:val="20"/>
        </w:rPr>
        <w:t>A</w:t>
      </w:r>
      <w:r w:rsidRPr="00786DD8">
        <w:rPr>
          <w:rFonts w:ascii="Times New Roman" w:hAnsi="Times New Roman" w:cs="Times New Roman"/>
          <w:bCs/>
          <w:sz w:val="20"/>
        </w:rPr>
        <w:t>llowance freezes combined with increasing incomes will push more people into higher tax bands.</w:t>
      </w:r>
    </w:p>
    <w:p w14:paraId="635CF44F" w14:textId="7E2728E7" w:rsidR="00786DD8" w:rsidRDefault="00786DD8" w:rsidP="0083002F">
      <w:pPr>
        <w:pStyle w:val="NoSpacing"/>
        <w:numPr>
          <w:ilvl w:val="0"/>
          <w:numId w:val="2"/>
        </w:numPr>
        <w:jc w:val="both"/>
        <w:rPr>
          <w:rFonts w:ascii="Times New Roman" w:hAnsi="Times New Roman" w:cs="Times New Roman"/>
          <w:bCs/>
          <w:sz w:val="20"/>
        </w:rPr>
      </w:pPr>
      <w:r w:rsidRPr="00786DD8">
        <w:rPr>
          <w:rFonts w:ascii="Times New Roman" w:hAnsi="Times New Roman" w:cs="Times New Roman"/>
          <w:bCs/>
          <w:sz w:val="20"/>
        </w:rPr>
        <w:t xml:space="preserve">This is known as fiscal drag and is essentially a </w:t>
      </w:r>
      <w:r w:rsidR="00CB7969">
        <w:rPr>
          <w:rFonts w:ascii="Times New Roman" w:hAnsi="Times New Roman" w:cs="Times New Roman"/>
          <w:bCs/>
          <w:sz w:val="20"/>
        </w:rPr>
        <w:t xml:space="preserve">stealth </w:t>
      </w:r>
      <w:r w:rsidRPr="00786DD8">
        <w:rPr>
          <w:rFonts w:ascii="Times New Roman" w:hAnsi="Times New Roman" w:cs="Times New Roman"/>
          <w:bCs/>
          <w:sz w:val="20"/>
        </w:rPr>
        <w:t xml:space="preserve">tax rise, with individuals on the cusp of tax thresholds and those in the </w:t>
      </w:r>
      <w:r w:rsidR="00CB7969">
        <w:rPr>
          <w:rFonts w:ascii="Times New Roman" w:hAnsi="Times New Roman" w:cs="Times New Roman"/>
          <w:bCs/>
          <w:sz w:val="20"/>
        </w:rPr>
        <w:t>h</w:t>
      </w:r>
      <w:r w:rsidRPr="00786DD8">
        <w:rPr>
          <w:rFonts w:ascii="Times New Roman" w:hAnsi="Times New Roman" w:cs="Times New Roman"/>
          <w:bCs/>
          <w:sz w:val="20"/>
        </w:rPr>
        <w:t xml:space="preserve">igher and </w:t>
      </w:r>
      <w:r w:rsidR="00CB7969">
        <w:rPr>
          <w:rFonts w:ascii="Times New Roman" w:hAnsi="Times New Roman" w:cs="Times New Roman"/>
          <w:bCs/>
          <w:sz w:val="20"/>
        </w:rPr>
        <w:t>a</w:t>
      </w:r>
      <w:r w:rsidRPr="00786DD8">
        <w:rPr>
          <w:rFonts w:ascii="Times New Roman" w:hAnsi="Times New Roman" w:cs="Times New Roman"/>
          <w:bCs/>
          <w:sz w:val="20"/>
        </w:rPr>
        <w:t>dditional tax brackets impacted the most.</w:t>
      </w:r>
    </w:p>
    <w:p w14:paraId="5309187F" w14:textId="77777777" w:rsidR="00786DD8" w:rsidRDefault="00786DD8" w:rsidP="00786DD8">
      <w:pPr>
        <w:pStyle w:val="NoSpacing"/>
        <w:jc w:val="both"/>
        <w:rPr>
          <w:rFonts w:ascii="Times New Roman" w:hAnsi="Times New Roman" w:cs="Times New Roman"/>
          <w:bCs/>
          <w:sz w:val="20"/>
        </w:rPr>
      </w:pPr>
    </w:p>
    <w:p w14:paraId="1EFDAEF5" w14:textId="74B09AAB" w:rsidR="00786DD8" w:rsidRPr="00AD739E" w:rsidRDefault="00786DD8" w:rsidP="00786DD8">
      <w:pPr>
        <w:pStyle w:val="NoSpacing"/>
        <w:shd w:val="clear" w:color="auto" w:fill="D9D9D9" w:themeFill="background1" w:themeFillShade="D9"/>
        <w:jc w:val="both"/>
        <w:rPr>
          <w:rFonts w:ascii="Times New Roman" w:hAnsi="Times New Roman" w:cs="Times New Roman"/>
          <w:b/>
          <w:bCs/>
          <w:sz w:val="20"/>
          <w:szCs w:val="20"/>
        </w:rPr>
      </w:pPr>
      <w:r>
        <w:rPr>
          <w:rFonts w:ascii="Times New Roman" w:hAnsi="Times New Roman" w:cs="Times New Roman"/>
          <w:b/>
          <w:bCs/>
          <w:sz w:val="20"/>
          <w:szCs w:val="20"/>
        </w:rPr>
        <w:t>1</w:t>
      </w:r>
      <w:r w:rsidRPr="00AD739E">
        <w:rPr>
          <w:rFonts w:ascii="Times New Roman" w:hAnsi="Times New Roman" w:cs="Times New Roman"/>
          <w:b/>
          <w:bCs/>
          <w:sz w:val="20"/>
          <w:szCs w:val="20"/>
        </w:rPr>
        <w:t>.</w:t>
      </w:r>
      <w:r>
        <w:rPr>
          <w:rFonts w:ascii="Times New Roman" w:hAnsi="Times New Roman" w:cs="Times New Roman"/>
          <w:b/>
          <w:bCs/>
          <w:sz w:val="20"/>
          <w:szCs w:val="20"/>
        </w:rPr>
        <w:t>3</w:t>
      </w:r>
      <w:r w:rsidRPr="00AD739E">
        <w:rPr>
          <w:rFonts w:ascii="Times New Roman" w:hAnsi="Times New Roman" w:cs="Times New Roman"/>
          <w:b/>
          <w:bCs/>
          <w:sz w:val="20"/>
          <w:szCs w:val="20"/>
        </w:rPr>
        <w:t xml:space="preserve"> </w:t>
      </w:r>
      <w:r>
        <w:rPr>
          <w:rFonts w:ascii="Times New Roman" w:hAnsi="Times New Roman" w:cs="Times New Roman"/>
          <w:b/>
          <w:bCs/>
          <w:sz w:val="20"/>
          <w:szCs w:val="20"/>
        </w:rPr>
        <w:t xml:space="preserve">Sandle Nash </w:t>
      </w:r>
      <w:r w:rsidR="00CB7969">
        <w:rPr>
          <w:rFonts w:ascii="Times New Roman" w:hAnsi="Times New Roman" w:cs="Times New Roman"/>
          <w:b/>
          <w:bCs/>
          <w:sz w:val="20"/>
          <w:szCs w:val="20"/>
        </w:rPr>
        <w:t>Limited C</w:t>
      </w:r>
      <w:r>
        <w:rPr>
          <w:rFonts w:ascii="Times New Roman" w:hAnsi="Times New Roman" w:cs="Times New Roman"/>
          <w:b/>
          <w:bCs/>
          <w:sz w:val="20"/>
          <w:szCs w:val="20"/>
        </w:rPr>
        <w:t>omments</w:t>
      </w:r>
      <w:r w:rsidR="00C63740">
        <w:rPr>
          <w:rFonts w:ascii="Times New Roman" w:hAnsi="Times New Roman" w:cs="Times New Roman"/>
          <w:b/>
          <w:bCs/>
          <w:sz w:val="20"/>
          <w:szCs w:val="20"/>
        </w:rPr>
        <w:t xml:space="preserve"> / </w:t>
      </w:r>
      <w:r w:rsidR="00CB7969">
        <w:rPr>
          <w:rFonts w:ascii="Times New Roman" w:hAnsi="Times New Roman" w:cs="Times New Roman"/>
          <w:b/>
          <w:bCs/>
          <w:sz w:val="20"/>
          <w:szCs w:val="20"/>
        </w:rPr>
        <w:t xml:space="preserve">Possible </w:t>
      </w:r>
      <w:r w:rsidR="00C63740">
        <w:rPr>
          <w:rFonts w:ascii="Times New Roman" w:hAnsi="Times New Roman" w:cs="Times New Roman"/>
          <w:b/>
          <w:bCs/>
          <w:sz w:val="20"/>
          <w:szCs w:val="20"/>
        </w:rPr>
        <w:t xml:space="preserve">Planning </w:t>
      </w:r>
      <w:r w:rsidR="00CB7969">
        <w:rPr>
          <w:rFonts w:ascii="Times New Roman" w:hAnsi="Times New Roman" w:cs="Times New Roman"/>
          <w:b/>
          <w:bCs/>
          <w:sz w:val="20"/>
          <w:szCs w:val="20"/>
        </w:rPr>
        <w:t>O</w:t>
      </w:r>
      <w:r w:rsidR="00C63740">
        <w:rPr>
          <w:rFonts w:ascii="Times New Roman" w:hAnsi="Times New Roman" w:cs="Times New Roman"/>
          <w:b/>
          <w:bCs/>
          <w:sz w:val="20"/>
          <w:szCs w:val="20"/>
        </w:rPr>
        <w:t>pportunities</w:t>
      </w:r>
    </w:p>
    <w:p w14:paraId="438BE475" w14:textId="77777777" w:rsidR="00786DD8" w:rsidRDefault="00786DD8" w:rsidP="00786DD8">
      <w:pPr>
        <w:pStyle w:val="NoSpacing"/>
        <w:jc w:val="both"/>
        <w:rPr>
          <w:rFonts w:ascii="Times New Roman" w:hAnsi="Times New Roman" w:cs="Times New Roman"/>
          <w:sz w:val="20"/>
          <w:szCs w:val="20"/>
        </w:rPr>
      </w:pPr>
    </w:p>
    <w:p w14:paraId="711F2C19" w14:textId="18A25F08" w:rsidR="00CE4FFA" w:rsidRDefault="00CE4FFA" w:rsidP="00786DD8">
      <w:pPr>
        <w:pStyle w:val="NoSpacing"/>
        <w:jc w:val="both"/>
        <w:rPr>
          <w:rFonts w:ascii="Times New Roman" w:hAnsi="Times New Roman" w:cs="Times New Roman"/>
          <w:sz w:val="20"/>
          <w:szCs w:val="20"/>
        </w:rPr>
      </w:pPr>
      <w:r w:rsidRPr="00CE4FFA">
        <w:rPr>
          <w:rFonts w:ascii="Times New Roman" w:hAnsi="Times New Roman" w:cs="Times New Roman"/>
          <w:sz w:val="20"/>
          <w:szCs w:val="20"/>
        </w:rPr>
        <w:t xml:space="preserve">With thresholds frozen until 2031 and rates rising on </w:t>
      </w:r>
      <w:r w:rsidR="00CB7969">
        <w:rPr>
          <w:rFonts w:ascii="Times New Roman" w:hAnsi="Times New Roman" w:cs="Times New Roman"/>
          <w:sz w:val="20"/>
          <w:szCs w:val="20"/>
        </w:rPr>
        <w:t>p</w:t>
      </w:r>
      <w:r>
        <w:rPr>
          <w:rFonts w:ascii="Times New Roman" w:hAnsi="Times New Roman" w:cs="Times New Roman"/>
          <w:sz w:val="20"/>
          <w:szCs w:val="20"/>
        </w:rPr>
        <w:t xml:space="preserve">roperty, </w:t>
      </w:r>
      <w:r w:rsidR="00CB7969">
        <w:rPr>
          <w:rFonts w:ascii="Times New Roman" w:hAnsi="Times New Roman" w:cs="Times New Roman"/>
          <w:sz w:val="20"/>
          <w:szCs w:val="20"/>
        </w:rPr>
        <w:t>s</w:t>
      </w:r>
      <w:r>
        <w:rPr>
          <w:rFonts w:ascii="Times New Roman" w:hAnsi="Times New Roman" w:cs="Times New Roman"/>
          <w:sz w:val="20"/>
          <w:szCs w:val="20"/>
        </w:rPr>
        <w:t xml:space="preserve">avings and </w:t>
      </w:r>
      <w:r w:rsidR="00CB7969">
        <w:rPr>
          <w:rFonts w:ascii="Times New Roman" w:hAnsi="Times New Roman" w:cs="Times New Roman"/>
          <w:sz w:val="20"/>
          <w:szCs w:val="20"/>
        </w:rPr>
        <w:t>d</w:t>
      </w:r>
      <w:r>
        <w:rPr>
          <w:rFonts w:ascii="Times New Roman" w:hAnsi="Times New Roman" w:cs="Times New Roman"/>
          <w:sz w:val="20"/>
          <w:szCs w:val="20"/>
        </w:rPr>
        <w:t>ividend</w:t>
      </w:r>
      <w:r w:rsidRPr="00CE4FFA">
        <w:rPr>
          <w:rFonts w:ascii="Times New Roman" w:hAnsi="Times New Roman" w:cs="Times New Roman"/>
          <w:sz w:val="20"/>
          <w:szCs w:val="20"/>
        </w:rPr>
        <w:t xml:space="preserve"> income before then</w:t>
      </w:r>
      <w:r w:rsidR="00060851">
        <w:rPr>
          <w:rFonts w:ascii="Times New Roman" w:hAnsi="Times New Roman" w:cs="Times New Roman"/>
          <w:sz w:val="20"/>
          <w:szCs w:val="20"/>
        </w:rPr>
        <w:t xml:space="preserve"> (see below)</w:t>
      </w:r>
      <w:r w:rsidRPr="00CE4FFA">
        <w:rPr>
          <w:rFonts w:ascii="Times New Roman" w:hAnsi="Times New Roman" w:cs="Times New Roman"/>
          <w:sz w:val="20"/>
          <w:szCs w:val="20"/>
        </w:rPr>
        <w:t xml:space="preserve">, individuals may find their tax liability </w:t>
      </w:r>
      <w:r w:rsidR="00CB7969">
        <w:rPr>
          <w:rFonts w:ascii="Times New Roman" w:hAnsi="Times New Roman" w:cs="Times New Roman"/>
          <w:sz w:val="20"/>
          <w:szCs w:val="20"/>
        </w:rPr>
        <w:t>increasing</w:t>
      </w:r>
      <w:r w:rsidRPr="00CE4FFA">
        <w:rPr>
          <w:rFonts w:ascii="Times New Roman" w:hAnsi="Times New Roman" w:cs="Times New Roman"/>
          <w:sz w:val="20"/>
          <w:szCs w:val="20"/>
        </w:rPr>
        <w:t xml:space="preserve">. As such, proactive </w:t>
      </w:r>
      <w:r>
        <w:rPr>
          <w:rFonts w:ascii="Times New Roman" w:hAnsi="Times New Roman" w:cs="Times New Roman"/>
          <w:sz w:val="20"/>
          <w:szCs w:val="20"/>
        </w:rPr>
        <w:t xml:space="preserve">financial </w:t>
      </w:r>
      <w:r w:rsidRPr="00CE4FFA">
        <w:rPr>
          <w:rFonts w:ascii="Times New Roman" w:hAnsi="Times New Roman" w:cs="Times New Roman"/>
          <w:sz w:val="20"/>
          <w:szCs w:val="20"/>
        </w:rPr>
        <w:t>planning across all these matters is key.</w:t>
      </w:r>
    </w:p>
    <w:p w14:paraId="13D90427" w14:textId="77777777" w:rsidR="00CE4FFA" w:rsidRDefault="00CE4FFA" w:rsidP="00786DD8">
      <w:pPr>
        <w:pStyle w:val="NoSpacing"/>
        <w:jc w:val="both"/>
        <w:rPr>
          <w:rFonts w:ascii="Times New Roman" w:hAnsi="Times New Roman" w:cs="Times New Roman"/>
          <w:sz w:val="20"/>
          <w:szCs w:val="20"/>
        </w:rPr>
      </w:pPr>
    </w:p>
    <w:p w14:paraId="21B61149" w14:textId="10E174D0" w:rsidR="00C63740" w:rsidRPr="00C63740" w:rsidRDefault="00786DD8" w:rsidP="00C63740">
      <w:pPr>
        <w:pStyle w:val="NoSpacing"/>
        <w:shd w:val="clear" w:color="auto" w:fill="DBE5F1" w:themeFill="accent1" w:themeFillTint="33"/>
        <w:jc w:val="both"/>
        <w:rPr>
          <w:rFonts w:ascii="Times New Roman" w:hAnsi="Times New Roman" w:cs="Times New Roman"/>
          <w:b/>
          <w:bCs/>
          <w:sz w:val="20"/>
          <w:szCs w:val="20"/>
        </w:rPr>
      </w:pPr>
      <w:r w:rsidRPr="00CD4432">
        <w:rPr>
          <w:rFonts w:ascii="Times New Roman" w:hAnsi="Times New Roman" w:cs="Times New Roman"/>
          <w:b/>
          <w:bCs/>
          <w:sz w:val="20"/>
          <w:szCs w:val="20"/>
        </w:rPr>
        <w:t xml:space="preserve">To counter the impact </w:t>
      </w:r>
      <w:r w:rsidR="00C63740">
        <w:rPr>
          <w:rFonts w:ascii="Times New Roman" w:hAnsi="Times New Roman" w:cs="Times New Roman"/>
          <w:b/>
          <w:bCs/>
          <w:sz w:val="20"/>
          <w:szCs w:val="20"/>
        </w:rPr>
        <w:t>of the extended freeze</w:t>
      </w:r>
      <w:r w:rsidRPr="00CD4432">
        <w:rPr>
          <w:rFonts w:ascii="Times New Roman" w:hAnsi="Times New Roman" w:cs="Times New Roman"/>
          <w:b/>
          <w:bCs/>
          <w:sz w:val="20"/>
          <w:szCs w:val="20"/>
        </w:rPr>
        <w:t>, the following actions could be considered:</w:t>
      </w:r>
    </w:p>
    <w:p w14:paraId="4F4B0EB6" w14:textId="1C74F207" w:rsidR="00C63740" w:rsidRDefault="00786DD8" w:rsidP="0083002F">
      <w:pPr>
        <w:pStyle w:val="NoSpacing"/>
        <w:numPr>
          <w:ilvl w:val="0"/>
          <w:numId w:val="1"/>
        </w:numPr>
        <w:shd w:val="clear" w:color="auto" w:fill="DBE5F1" w:themeFill="accent1" w:themeFillTint="33"/>
        <w:jc w:val="both"/>
        <w:rPr>
          <w:rFonts w:ascii="Times New Roman" w:hAnsi="Times New Roman" w:cs="Times New Roman"/>
          <w:bCs/>
          <w:sz w:val="20"/>
          <w:szCs w:val="20"/>
        </w:rPr>
      </w:pPr>
      <w:r w:rsidRPr="00C63740">
        <w:rPr>
          <w:rFonts w:ascii="Times New Roman" w:hAnsi="Times New Roman" w:cs="Times New Roman"/>
          <w:bCs/>
          <w:sz w:val="20"/>
          <w:szCs w:val="20"/>
        </w:rPr>
        <w:t xml:space="preserve">Spouse/civil partner planning: </w:t>
      </w:r>
      <w:r w:rsidR="00CB7969">
        <w:rPr>
          <w:rFonts w:ascii="Times New Roman" w:hAnsi="Times New Roman" w:cs="Times New Roman"/>
          <w:bCs/>
          <w:sz w:val="20"/>
          <w:szCs w:val="20"/>
        </w:rPr>
        <w:t>u</w:t>
      </w:r>
      <w:r w:rsidRPr="00C63740">
        <w:rPr>
          <w:rFonts w:ascii="Times New Roman" w:hAnsi="Times New Roman" w:cs="Times New Roman"/>
          <w:bCs/>
          <w:sz w:val="20"/>
          <w:szCs w:val="20"/>
        </w:rPr>
        <w:t xml:space="preserve">tilise income-generating assets to take advantage of both spouses/civil partners’ individual </w:t>
      </w:r>
      <w:r w:rsidR="00C63740">
        <w:rPr>
          <w:rFonts w:ascii="Times New Roman" w:hAnsi="Times New Roman" w:cs="Times New Roman"/>
          <w:bCs/>
          <w:sz w:val="20"/>
          <w:szCs w:val="20"/>
        </w:rPr>
        <w:t>P</w:t>
      </w:r>
      <w:r w:rsidRPr="00C63740">
        <w:rPr>
          <w:rFonts w:ascii="Times New Roman" w:hAnsi="Times New Roman" w:cs="Times New Roman"/>
          <w:bCs/>
          <w:sz w:val="20"/>
          <w:szCs w:val="20"/>
        </w:rPr>
        <w:t xml:space="preserve">ersonal </w:t>
      </w:r>
      <w:r w:rsidR="00C63740">
        <w:rPr>
          <w:rFonts w:ascii="Times New Roman" w:hAnsi="Times New Roman" w:cs="Times New Roman"/>
          <w:bCs/>
          <w:sz w:val="20"/>
          <w:szCs w:val="20"/>
        </w:rPr>
        <w:t>A</w:t>
      </w:r>
      <w:r w:rsidRPr="00C63740">
        <w:rPr>
          <w:rFonts w:ascii="Times New Roman" w:hAnsi="Times New Roman" w:cs="Times New Roman"/>
          <w:bCs/>
          <w:sz w:val="20"/>
          <w:szCs w:val="20"/>
        </w:rPr>
        <w:t xml:space="preserve">llowances and </w:t>
      </w:r>
      <w:r w:rsidR="00C63740">
        <w:rPr>
          <w:rFonts w:ascii="Times New Roman" w:hAnsi="Times New Roman" w:cs="Times New Roman"/>
          <w:bCs/>
          <w:sz w:val="20"/>
          <w:szCs w:val="20"/>
        </w:rPr>
        <w:t>t</w:t>
      </w:r>
      <w:r w:rsidRPr="00C63740">
        <w:rPr>
          <w:rFonts w:ascii="Times New Roman" w:hAnsi="Times New Roman" w:cs="Times New Roman"/>
          <w:bCs/>
          <w:sz w:val="20"/>
          <w:szCs w:val="20"/>
        </w:rPr>
        <w:t>ax bands.</w:t>
      </w:r>
    </w:p>
    <w:p w14:paraId="4481DF0B" w14:textId="396C6C6F" w:rsidR="00C63740" w:rsidRDefault="00786DD8" w:rsidP="0083002F">
      <w:pPr>
        <w:pStyle w:val="NoSpacing"/>
        <w:numPr>
          <w:ilvl w:val="0"/>
          <w:numId w:val="1"/>
        </w:numPr>
        <w:shd w:val="clear" w:color="auto" w:fill="DBE5F1" w:themeFill="accent1" w:themeFillTint="33"/>
        <w:jc w:val="both"/>
        <w:rPr>
          <w:rFonts w:ascii="Times New Roman" w:hAnsi="Times New Roman" w:cs="Times New Roman"/>
          <w:bCs/>
          <w:sz w:val="20"/>
          <w:szCs w:val="20"/>
        </w:rPr>
      </w:pPr>
      <w:r w:rsidRPr="00C63740">
        <w:rPr>
          <w:rFonts w:ascii="Times New Roman" w:hAnsi="Times New Roman" w:cs="Times New Roman"/>
          <w:bCs/>
          <w:sz w:val="20"/>
          <w:szCs w:val="20"/>
        </w:rPr>
        <w:t>Increas</w:t>
      </w:r>
      <w:r w:rsidR="00CB7969">
        <w:rPr>
          <w:rFonts w:ascii="Times New Roman" w:hAnsi="Times New Roman" w:cs="Times New Roman"/>
          <w:bCs/>
          <w:sz w:val="20"/>
          <w:szCs w:val="20"/>
        </w:rPr>
        <w:t>e</w:t>
      </w:r>
      <w:r w:rsidRPr="00C63740">
        <w:rPr>
          <w:rFonts w:ascii="Times New Roman" w:hAnsi="Times New Roman" w:cs="Times New Roman"/>
          <w:bCs/>
          <w:sz w:val="20"/>
          <w:szCs w:val="20"/>
        </w:rPr>
        <w:t xml:space="preserve"> pension contributions: reduce taxable income while saving for retirement.</w:t>
      </w:r>
    </w:p>
    <w:p w14:paraId="2133F583" w14:textId="087312F0" w:rsidR="00E85928" w:rsidRPr="00C63740" w:rsidRDefault="00786DD8" w:rsidP="0083002F">
      <w:pPr>
        <w:pStyle w:val="NoSpacing"/>
        <w:numPr>
          <w:ilvl w:val="0"/>
          <w:numId w:val="1"/>
        </w:numPr>
        <w:shd w:val="clear" w:color="auto" w:fill="DBE5F1" w:themeFill="accent1" w:themeFillTint="33"/>
        <w:jc w:val="both"/>
        <w:rPr>
          <w:rFonts w:ascii="Times New Roman" w:hAnsi="Times New Roman" w:cs="Times New Roman"/>
          <w:bCs/>
          <w:sz w:val="20"/>
          <w:szCs w:val="20"/>
        </w:rPr>
      </w:pPr>
      <w:r w:rsidRPr="00C63740">
        <w:rPr>
          <w:rFonts w:ascii="Times New Roman" w:hAnsi="Times New Roman" w:cs="Times New Roman"/>
          <w:bCs/>
          <w:sz w:val="20"/>
          <w:szCs w:val="20"/>
        </w:rPr>
        <w:t xml:space="preserve">Charitable giving: </w:t>
      </w:r>
      <w:r w:rsidR="00CB7969">
        <w:rPr>
          <w:rFonts w:ascii="Times New Roman" w:hAnsi="Times New Roman" w:cs="Times New Roman"/>
          <w:bCs/>
          <w:sz w:val="20"/>
          <w:szCs w:val="20"/>
        </w:rPr>
        <w:t>d</w:t>
      </w:r>
      <w:r w:rsidRPr="00C63740">
        <w:rPr>
          <w:rFonts w:ascii="Times New Roman" w:hAnsi="Times New Roman" w:cs="Times New Roman"/>
          <w:bCs/>
          <w:sz w:val="20"/>
          <w:szCs w:val="20"/>
        </w:rPr>
        <w:t>onations can lower your tax bill while supporting causes you care about.</w:t>
      </w:r>
    </w:p>
    <w:p w14:paraId="7B12DC1A" w14:textId="77777777" w:rsidR="00E85928" w:rsidRDefault="00E85928" w:rsidP="00FE371C">
      <w:pPr>
        <w:pStyle w:val="NoSpacing"/>
        <w:jc w:val="both"/>
        <w:rPr>
          <w:rFonts w:ascii="Times New Roman" w:hAnsi="Times New Roman" w:cs="Times New Roman"/>
          <w:bCs/>
          <w:sz w:val="20"/>
          <w:szCs w:val="20"/>
        </w:rPr>
      </w:pPr>
    </w:p>
    <w:p w14:paraId="10B58729" w14:textId="392EF561" w:rsidR="007E716C" w:rsidRPr="005E2F2F" w:rsidRDefault="00C63740" w:rsidP="003E2D63">
      <w:pPr>
        <w:pStyle w:val="NoSpacing"/>
        <w:shd w:val="clear" w:color="auto" w:fill="336699"/>
        <w:rPr>
          <w:rFonts w:ascii="Times New Roman" w:hAnsi="Times New Roman" w:cs="Times New Roman"/>
          <w:sz w:val="20"/>
          <w:szCs w:val="20"/>
        </w:rPr>
      </w:pPr>
      <w:r>
        <w:rPr>
          <w:rFonts w:ascii="Times New Roman" w:hAnsi="Times New Roman" w:cs="Times New Roman"/>
          <w:b/>
          <w:color w:val="FFFFFF" w:themeColor="background1"/>
          <w:sz w:val="20"/>
          <w:szCs w:val="20"/>
        </w:rPr>
        <w:t>2</w:t>
      </w:r>
      <w:r w:rsidR="00AD739E" w:rsidRPr="009C032A">
        <w:rPr>
          <w:rFonts w:ascii="Times New Roman" w:hAnsi="Times New Roman" w:cs="Times New Roman"/>
          <w:b/>
          <w:color w:val="FFFFFF" w:themeColor="background1"/>
          <w:sz w:val="20"/>
          <w:szCs w:val="20"/>
        </w:rPr>
        <w:t>.</w:t>
      </w:r>
      <w:r w:rsidR="007E716C" w:rsidRPr="009C032A">
        <w:rPr>
          <w:rFonts w:ascii="Times New Roman" w:hAnsi="Times New Roman" w:cs="Times New Roman"/>
          <w:b/>
          <w:color w:val="FFFFFF" w:themeColor="background1"/>
          <w:sz w:val="20"/>
          <w:szCs w:val="20"/>
        </w:rPr>
        <w:t xml:space="preserve"> </w:t>
      </w:r>
      <w:r w:rsidR="00783946" w:rsidRPr="00783946">
        <w:rPr>
          <w:rFonts w:ascii="Times New Roman" w:hAnsi="Times New Roman" w:cs="Times New Roman"/>
          <w:b/>
          <w:color w:val="FFFFFF" w:themeColor="background1"/>
          <w:sz w:val="20"/>
        </w:rPr>
        <w:t>Property</w:t>
      </w:r>
      <w:r w:rsidR="00783946" w:rsidRPr="00783946">
        <w:rPr>
          <w:rFonts w:ascii="Times New Roman" w:hAnsi="Times New Roman" w:cs="Times New Roman"/>
          <w:b/>
          <w:bCs/>
          <w:color w:val="FFFFFF" w:themeColor="background1"/>
          <w:sz w:val="20"/>
        </w:rPr>
        <w:t xml:space="preserve">, </w:t>
      </w:r>
      <w:r w:rsidR="00783946" w:rsidRPr="00783946">
        <w:rPr>
          <w:rFonts w:ascii="Times New Roman" w:hAnsi="Times New Roman" w:cs="Times New Roman"/>
          <w:b/>
          <w:color w:val="FFFFFF" w:themeColor="background1"/>
          <w:sz w:val="20"/>
        </w:rPr>
        <w:t>Savings</w:t>
      </w:r>
      <w:r w:rsidR="00783946" w:rsidRPr="00783946">
        <w:rPr>
          <w:rFonts w:ascii="Times New Roman" w:hAnsi="Times New Roman" w:cs="Times New Roman"/>
          <w:b/>
          <w:bCs/>
          <w:color w:val="FFFFFF" w:themeColor="background1"/>
          <w:sz w:val="20"/>
        </w:rPr>
        <w:t xml:space="preserve"> and </w:t>
      </w:r>
      <w:r w:rsidR="00783946" w:rsidRPr="00783946">
        <w:rPr>
          <w:rFonts w:ascii="Times New Roman" w:hAnsi="Times New Roman" w:cs="Times New Roman"/>
          <w:b/>
          <w:color w:val="FFFFFF" w:themeColor="background1"/>
          <w:sz w:val="20"/>
        </w:rPr>
        <w:t>Dividends</w:t>
      </w:r>
      <w:r w:rsidR="00783946" w:rsidRPr="00783946">
        <w:rPr>
          <w:rFonts w:ascii="Times New Roman" w:hAnsi="Times New Roman" w:cs="Times New Roman"/>
          <w:b/>
          <w:bCs/>
          <w:color w:val="FFFFFF" w:themeColor="background1"/>
          <w:sz w:val="20"/>
        </w:rPr>
        <w:t xml:space="preserve"> </w:t>
      </w:r>
      <w:r w:rsidR="00CB7969">
        <w:rPr>
          <w:rFonts w:ascii="Times New Roman" w:hAnsi="Times New Roman" w:cs="Times New Roman"/>
          <w:b/>
          <w:bCs/>
          <w:color w:val="FFFFFF" w:themeColor="background1"/>
          <w:sz w:val="20"/>
        </w:rPr>
        <w:t>I</w:t>
      </w:r>
      <w:r w:rsidR="00783946" w:rsidRPr="00783946">
        <w:rPr>
          <w:rFonts w:ascii="Times New Roman" w:hAnsi="Times New Roman" w:cs="Times New Roman"/>
          <w:b/>
          <w:bCs/>
          <w:color w:val="FFFFFF" w:themeColor="background1"/>
          <w:sz w:val="20"/>
        </w:rPr>
        <w:t>ncome</w:t>
      </w:r>
    </w:p>
    <w:p w14:paraId="7805316E" w14:textId="77777777" w:rsidR="003E2D63" w:rsidRDefault="003E2D63" w:rsidP="003E2D63">
      <w:pPr>
        <w:pStyle w:val="NoSpacing"/>
        <w:shd w:val="clear" w:color="auto" w:fill="FFFFFF" w:themeFill="background1"/>
        <w:jc w:val="both"/>
        <w:rPr>
          <w:rFonts w:ascii="Times New Roman" w:hAnsi="Times New Roman" w:cs="Times New Roman"/>
          <w:b/>
          <w:bCs/>
          <w:sz w:val="20"/>
          <w:szCs w:val="20"/>
        </w:rPr>
      </w:pPr>
    </w:p>
    <w:p w14:paraId="1F0EDD01" w14:textId="7E14121B" w:rsidR="007E716C" w:rsidRPr="00AD739E" w:rsidRDefault="00C63740" w:rsidP="00AD739E">
      <w:pPr>
        <w:pStyle w:val="NoSpacing"/>
        <w:shd w:val="clear" w:color="auto" w:fill="D9D9D9" w:themeFill="background1" w:themeFillShade="D9"/>
        <w:jc w:val="both"/>
        <w:rPr>
          <w:rFonts w:ascii="Times New Roman" w:hAnsi="Times New Roman" w:cs="Times New Roman"/>
          <w:b/>
          <w:bCs/>
          <w:sz w:val="20"/>
          <w:szCs w:val="20"/>
        </w:rPr>
      </w:pPr>
      <w:r>
        <w:rPr>
          <w:rFonts w:ascii="Times New Roman" w:hAnsi="Times New Roman" w:cs="Times New Roman"/>
          <w:b/>
          <w:bCs/>
          <w:sz w:val="20"/>
          <w:szCs w:val="20"/>
        </w:rPr>
        <w:t>2</w:t>
      </w:r>
      <w:r w:rsidR="00AD739E" w:rsidRPr="00AD739E">
        <w:rPr>
          <w:rFonts w:ascii="Times New Roman" w:hAnsi="Times New Roman" w:cs="Times New Roman"/>
          <w:b/>
          <w:bCs/>
          <w:sz w:val="20"/>
          <w:szCs w:val="20"/>
        </w:rPr>
        <w:t xml:space="preserve">.1 Announcement </w:t>
      </w:r>
    </w:p>
    <w:p w14:paraId="78209A2D" w14:textId="77777777" w:rsidR="00E85928" w:rsidRDefault="00E85928" w:rsidP="00681709">
      <w:pPr>
        <w:pStyle w:val="NoSpacing"/>
        <w:jc w:val="both"/>
        <w:rPr>
          <w:rFonts w:ascii="Times New Roman" w:hAnsi="Times New Roman" w:cs="Times New Roman"/>
          <w:bCs/>
          <w:sz w:val="20"/>
        </w:rPr>
      </w:pPr>
    </w:p>
    <w:p w14:paraId="27C93287" w14:textId="19C788B2" w:rsidR="00CE4FFA" w:rsidRDefault="00C63740" w:rsidP="0083002F">
      <w:pPr>
        <w:pStyle w:val="NoSpacing"/>
        <w:numPr>
          <w:ilvl w:val="0"/>
          <w:numId w:val="6"/>
        </w:numPr>
        <w:ind w:left="360"/>
        <w:jc w:val="both"/>
        <w:rPr>
          <w:rFonts w:ascii="Times New Roman" w:hAnsi="Times New Roman" w:cs="Times New Roman"/>
          <w:bCs/>
          <w:sz w:val="20"/>
        </w:rPr>
      </w:pPr>
      <w:r w:rsidRPr="00C63740">
        <w:rPr>
          <w:rFonts w:ascii="Times New Roman" w:hAnsi="Times New Roman" w:cs="Times New Roman"/>
          <w:bCs/>
          <w:sz w:val="20"/>
        </w:rPr>
        <w:t xml:space="preserve">The tax rates on income from </w:t>
      </w:r>
      <w:r w:rsidR="00CB7969">
        <w:rPr>
          <w:rFonts w:ascii="Times New Roman" w:hAnsi="Times New Roman" w:cs="Times New Roman"/>
          <w:bCs/>
          <w:sz w:val="20"/>
        </w:rPr>
        <w:t>p</w:t>
      </w:r>
      <w:r w:rsidRPr="00C63740">
        <w:rPr>
          <w:rFonts w:ascii="Times New Roman" w:hAnsi="Times New Roman" w:cs="Times New Roman"/>
          <w:bCs/>
          <w:sz w:val="20"/>
        </w:rPr>
        <w:t xml:space="preserve">roperty and </w:t>
      </w:r>
      <w:r w:rsidR="00CB7969">
        <w:rPr>
          <w:rFonts w:ascii="Times New Roman" w:hAnsi="Times New Roman" w:cs="Times New Roman"/>
          <w:bCs/>
          <w:sz w:val="20"/>
        </w:rPr>
        <w:t>s</w:t>
      </w:r>
      <w:r w:rsidRPr="00C63740">
        <w:rPr>
          <w:rFonts w:ascii="Times New Roman" w:hAnsi="Times New Roman" w:cs="Times New Roman"/>
          <w:bCs/>
          <w:sz w:val="20"/>
        </w:rPr>
        <w:t>avings will increase by 2% from April 2027.</w:t>
      </w:r>
    </w:p>
    <w:p w14:paraId="054C5B5B" w14:textId="5555E2E3" w:rsidR="00CE4FFA" w:rsidRPr="00C63740" w:rsidRDefault="00CE4FFA" w:rsidP="0083002F">
      <w:pPr>
        <w:pStyle w:val="NoSpacing"/>
        <w:numPr>
          <w:ilvl w:val="0"/>
          <w:numId w:val="6"/>
        </w:numPr>
        <w:ind w:left="360"/>
        <w:jc w:val="both"/>
        <w:rPr>
          <w:rFonts w:ascii="Times New Roman" w:hAnsi="Times New Roman" w:cs="Times New Roman"/>
          <w:bCs/>
          <w:sz w:val="20"/>
        </w:rPr>
      </w:pPr>
      <w:r>
        <w:rPr>
          <w:rFonts w:ascii="Times New Roman" w:hAnsi="Times New Roman" w:cs="Times New Roman"/>
          <w:bCs/>
          <w:sz w:val="20"/>
        </w:rPr>
        <w:t>T</w:t>
      </w:r>
      <w:r w:rsidRPr="00C63740">
        <w:rPr>
          <w:rFonts w:ascii="Times New Roman" w:hAnsi="Times New Roman" w:cs="Times New Roman"/>
          <w:bCs/>
          <w:sz w:val="20"/>
        </w:rPr>
        <w:t xml:space="preserve">he tax rates on income from </w:t>
      </w:r>
      <w:r w:rsidR="00CB7969">
        <w:rPr>
          <w:rFonts w:ascii="Times New Roman" w:hAnsi="Times New Roman" w:cs="Times New Roman"/>
          <w:bCs/>
          <w:sz w:val="20"/>
        </w:rPr>
        <w:t>d</w:t>
      </w:r>
      <w:r w:rsidRPr="00C63740">
        <w:rPr>
          <w:rFonts w:ascii="Times New Roman" w:hAnsi="Times New Roman" w:cs="Times New Roman"/>
          <w:bCs/>
          <w:sz w:val="20"/>
        </w:rPr>
        <w:t>ividends will increase by 2% from April 2026.</w:t>
      </w:r>
    </w:p>
    <w:p w14:paraId="7D47FC15" w14:textId="77777777" w:rsidR="00E85928" w:rsidRPr="00681709" w:rsidRDefault="00E85928" w:rsidP="00681709">
      <w:pPr>
        <w:pStyle w:val="NoSpacing"/>
        <w:jc w:val="both"/>
        <w:rPr>
          <w:rFonts w:ascii="Times New Roman" w:hAnsi="Times New Roman" w:cs="Times New Roman"/>
          <w:bCs/>
          <w:sz w:val="20"/>
        </w:rPr>
      </w:pPr>
    </w:p>
    <w:p w14:paraId="0BE38713" w14:textId="12BA4DEA" w:rsidR="00AD739E" w:rsidRPr="00AD739E" w:rsidRDefault="00CE4FFA" w:rsidP="00AD739E">
      <w:pPr>
        <w:pStyle w:val="NoSpacing"/>
        <w:shd w:val="clear" w:color="auto" w:fill="D9D9D9" w:themeFill="background1" w:themeFillShade="D9"/>
        <w:jc w:val="both"/>
        <w:rPr>
          <w:rFonts w:ascii="Times New Roman" w:hAnsi="Times New Roman" w:cs="Times New Roman"/>
          <w:b/>
          <w:bCs/>
          <w:sz w:val="20"/>
          <w:szCs w:val="20"/>
        </w:rPr>
      </w:pPr>
      <w:r>
        <w:rPr>
          <w:rFonts w:ascii="Times New Roman" w:hAnsi="Times New Roman" w:cs="Times New Roman"/>
          <w:b/>
          <w:bCs/>
          <w:sz w:val="20"/>
          <w:szCs w:val="20"/>
        </w:rPr>
        <w:t>2</w:t>
      </w:r>
      <w:r w:rsidR="00AD739E" w:rsidRPr="00AD739E">
        <w:rPr>
          <w:rFonts w:ascii="Times New Roman" w:hAnsi="Times New Roman" w:cs="Times New Roman"/>
          <w:b/>
          <w:bCs/>
          <w:sz w:val="20"/>
          <w:szCs w:val="20"/>
        </w:rPr>
        <w:t>.</w:t>
      </w:r>
      <w:r w:rsidR="00AD739E">
        <w:rPr>
          <w:rFonts w:ascii="Times New Roman" w:hAnsi="Times New Roman" w:cs="Times New Roman"/>
          <w:b/>
          <w:bCs/>
          <w:sz w:val="20"/>
          <w:szCs w:val="20"/>
        </w:rPr>
        <w:t>2</w:t>
      </w:r>
      <w:r w:rsidR="00AD739E" w:rsidRPr="00AD739E">
        <w:rPr>
          <w:rFonts w:ascii="Times New Roman" w:hAnsi="Times New Roman" w:cs="Times New Roman"/>
          <w:b/>
          <w:bCs/>
          <w:sz w:val="20"/>
          <w:szCs w:val="20"/>
        </w:rPr>
        <w:t xml:space="preserve"> </w:t>
      </w:r>
      <w:r w:rsidR="00AD739E">
        <w:rPr>
          <w:rFonts w:ascii="Times New Roman" w:hAnsi="Times New Roman" w:cs="Times New Roman"/>
          <w:b/>
          <w:bCs/>
          <w:sz w:val="20"/>
          <w:szCs w:val="20"/>
        </w:rPr>
        <w:t>Impact</w:t>
      </w:r>
    </w:p>
    <w:p w14:paraId="32C1A7B7" w14:textId="77777777" w:rsidR="00AD739E" w:rsidRDefault="00AD739E" w:rsidP="00AD739E">
      <w:pPr>
        <w:pStyle w:val="NoSpacing"/>
        <w:jc w:val="both"/>
        <w:rPr>
          <w:rFonts w:ascii="Times New Roman" w:hAnsi="Times New Roman" w:cs="Times New Roman"/>
          <w:sz w:val="20"/>
          <w:szCs w:val="20"/>
        </w:rPr>
      </w:pPr>
    </w:p>
    <w:p w14:paraId="42F089A4" w14:textId="47C280FC" w:rsidR="00CE4FFA" w:rsidRDefault="00CE4FFA" w:rsidP="0083002F">
      <w:pPr>
        <w:pStyle w:val="NoSpacing"/>
        <w:numPr>
          <w:ilvl w:val="0"/>
          <w:numId w:val="7"/>
        </w:numPr>
        <w:ind w:left="360"/>
        <w:jc w:val="both"/>
        <w:rPr>
          <w:rFonts w:ascii="Times New Roman" w:hAnsi="Times New Roman" w:cs="Times New Roman"/>
          <w:sz w:val="20"/>
          <w:szCs w:val="20"/>
        </w:rPr>
      </w:pPr>
      <w:r w:rsidRPr="00CE4FFA">
        <w:rPr>
          <w:rFonts w:ascii="Times New Roman" w:hAnsi="Times New Roman" w:cs="Times New Roman"/>
          <w:sz w:val="20"/>
          <w:szCs w:val="20"/>
        </w:rPr>
        <w:t>Savings and property income: rates rise to 22%, 42% and 47%</w:t>
      </w:r>
      <w:r w:rsidR="00CB7969">
        <w:rPr>
          <w:rFonts w:ascii="Times New Roman" w:hAnsi="Times New Roman" w:cs="Times New Roman"/>
          <w:sz w:val="20"/>
          <w:szCs w:val="20"/>
        </w:rPr>
        <w:t xml:space="preserve"> (from 20%, 40% and 45% respectively)</w:t>
      </w:r>
      <w:r w:rsidRPr="00CE4FFA">
        <w:rPr>
          <w:rFonts w:ascii="Times New Roman" w:hAnsi="Times New Roman" w:cs="Times New Roman"/>
          <w:sz w:val="20"/>
          <w:szCs w:val="20"/>
        </w:rPr>
        <w:t>.</w:t>
      </w:r>
    </w:p>
    <w:p w14:paraId="20DD2D06" w14:textId="2AC206E8" w:rsidR="00CE4FFA" w:rsidRPr="00CB7969" w:rsidRDefault="00CE4FFA" w:rsidP="0083002F">
      <w:pPr>
        <w:pStyle w:val="NoSpacing"/>
        <w:numPr>
          <w:ilvl w:val="0"/>
          <w:numId w:val="7"/>
        </w:numPr>
        <w:ind w:left="360"/>
        <w:jc w:val="both"/>
        <w:rPr>
          <w:rFonts w:ascii="Times New Roman" w:hAnsi="Times New Roman" w:cs="Times New Roman"/>
          <w:b/>
          <w:bCs/>
          <w:sz w:val="20"/>
          <w:szCs w:val="20"/>
        </w:rPr>
      </w:pPr>
      <w:r w:rsidRPr="00CE4FFA">
        <w:rPr>
          <w:rFonts w:ascii="Times New Roman" w:hAnsi="Times New Roman" w:cs="Times New Roman"/>
          <w:sz w:val="20"/>
          <w:szCs w:val="20"/>
        </w:rPr>
        <w:t xml:space="preserve">Dividends: </w:t>
      </w:r>
      <w:r w:rsidR="00CB7969">
        <w:rPr>
          <w:rFonts w:ascii="Times New Roman" w:hAnsi="Times New Roman" w:cs="Times New Roman"/>
          <w:sz w:val="20"/>
          <w:szCs w:val="20"/>
        </w:rPr>
        <w:t>r</w:t>
      </w:r>
      <w:r w:rsidRPr="00CE4FFA">
        <w:rPr>
          <w:rFonts w:ascii="Times New Roman" w:hAnsi="Times New Roman" w:cs="Times New Roman"/>
          <w:sz w:val="20"/>
          <w:szCs w:val="20"/>
        </w:rPr>
        <w:t>ates increase to 10.75% and 35.75%</w:t>
      </w:r>
      <w:r w:rsidR="00CB7969">
        <w:rPr>
          <w:rFonts w:ascii="Times New Roman" w:hAnsi="Times New Roman" w:cs="Times New Roman"/>
          <w:sz w:val="20"/>
          <w:szCs w:val="20"/>
        </w:rPr>
        <w:t xml:space="preserve"> (from 8.75% and 33.75%). </w:t>
      </w:r>
      <w:r w:rsidR="00CB7969" w:rsidRPr="00CB7969">
        <w:rPr>
          <w:rFonts w:ascii="Times New Roman" w:hAnsi="Times New Roman" w:cs="Times New Roman"/>
          <w:b/>
          <w:bCs/>
          <w:sz w:val="20"/>
          <w:szCs w:val="20"/>
        </w:rPr>
        <w:t>However, the a</w:t>
      </w:r>
      <w:r w:rsidRPr="00CB7969">
        <w:rPr>
          <w:rFonts w:ascii="Times New Roman" w:hAnsi="Times New Roman" w:cs="Times New Roman"/>
          <w:b/>
          <w:bCs/>
          <w:sz w:val="20"/>
          <w:szCs w:val="20"/>
        </w:rPr>
        <w:t xml:space="preserve">dditional rate </w:t>
      </w:r>
      <w:r w:rsidR="00CB7969" w:rsidRPr="00CB7969">
        <w:rPr>
          <w:rFonts w:ascii="Times New Roman" w:hAnsi="Times New Roman" w:cs="Times New Roman"/>
          <w:b/>
          <w:bCs/>
          <w:sz w:val="20"/>
          <w:szCs w:val="20"/>
        </w:rPr>
        <w:t>of</w:t>
      </w:r>
      <w:r w:rsidRPr="00CB7969">
        <w:rPr>
          <w:rFonts w:ascii="Times New Roman" w:hAnsi="Times New Roman" w:cs="Times New Roman"/>
          <w:b/>
          <w:bCs/>
          <w:sz w:val="20"/>
          <w:szCs w:val="20"/>
        </w:rPr>
        <w:t xml:space="preserve"> 39.35%</w:t>
      </w:r>
      <w:r w:rsidR="00CB7969" w:rsidRPr="00CB7969">
        <w:rPr>
          <w:rFonts w:ascii="Times New Roman" w:hAnsi="Times New Roman" w:cs="Times New Roman"/>
          <w:b/>
          <w:bCs/>
          <w:sz w:val="20"/>
          <w:szCs w:val="20"/>
        </w:rPr>
        <w:t xml:space="preserve"> will not be affected by the 2% rise elsewhere.</w:t>
      </w:r>
    </w:p>
    <w:p w14:paraId="47ADAD51" w14:textId="1957667D" w:rsidR="00CE4FFA" w:rsidRDefault="00CE4FFA" w:rsidP="0083002F">
      <w:pPr>
        <w:pStyle w:val="NoSpacing"/>
        <w:numPr>
          <w:ilvl w:val="0"/>
          <w:numId w:val="7"/>
        </w:numPr>
        <w:ind w:left="360"/>
        <w:jc w:val="both"/>
        <w:rPr>
          <w:rFonts w:ascii="Times New Roman" w:hAnsi="Times New Roman" w:cs="Times New Roman"/>
          <w:sz w:val="20"/>
          <w:szCs w:val="20"/>
        </w:rPr>
      </w:pPr>
      <w:r w:rsidRPr="00CE4FFA">
        <w:rPr>
          <w:rFonts w:ascii="Times New Roman" w:hAnsi="Times New Roman" w:cs="Times New Roman"/>
          <w:sz w:val="20"/>
          <w:szCs w:val="20"/>
        </w:rPr>
        <w:t>Reliefs and allowances will only be applied to</w:t>
      </w:r>
      <w:r>
        <w:rPr>
          <w:rFonts w:ascii="Times New Roman" w:hAnsi="Times New Roman" w:cs="Times New Roman"/>
          <w:sz w:val="20"/>
          <w:szCs w:val="20"/>
        </w:rPr>
        <w:t xml:space="preserve"> </w:t>
      </w:r>
      <w:r w:rsidR="00CB7969">
        <w:rPr>
          <w:rFonts w:ascii="Times New Roman" w:hAnsi="Times New Roman" w:cs="Times New Roman"/>
          <w:sz w:val="20"/>
          <w:szCs w:val="20"/>
        </w:rPr>
        <w:t>p</w:t>
      </w:r>
      <w:r w:rsidRPr="00CE4FFA">
        <w:rPr>
          <w:rFonts w:ascii="Times New Roman" w:hAnsi="Times New Roman" w:cs="Times New Roman"/>
          <w:sz w:val="20"/>
          <w:szCs w:val="20"/>
        </w:rPr>
        <w:t xml:space="preserve">roperty, </w:t>
      </w:r>
      <w:r w:rsidR="00CB7969">
        <w:rPr>
          <w:rFonts w:ascii="Times New Roman" w:hAnsi="Times New Roman" w:cs="Times New Roman"/>
          <w:sz w:val="20"/>
          <w:szCs w:val="20"/>
        </w:rPr>
        <w:t>s</w:t>
      </w:r>
      <w:r w:rsidRPr="00CE4FFA">
        <w:rPr>
          <w:rFonts w:ascii="Times New Roman" w:hAnsi="Times New Roman" w:cs="Times New Roman"/>
          <w:sz w:val="20"/>
          <w:szCs w:val="20"/>
        </w:rPr>
        <w:t xml:space="preserve">avings and </w:t>
      </w:r>
      <w:r w:rsidR="00CB7969">
        <w:rPr>
          <w:rFonts w:ascii="Times New Roman" w:hAnsi="Times New Roman" w:cs="Times New Roman"/>
          <w:sz w:val="20"/>
          <w:szCs w:val="20"/>
        </w:rPr>
        <w:t>d</w:t>
      </w:r>
      <w:r w:rsidRPr="00CE4FFA">
        <w:rPr>
          <w:rFonts w:ascii="Times New Roman" w:hAnsi="Times New Roman" w:cs="Times New Roman"/>
          <w:sz w:val="20"/>
          <w:szCs w:val="20"/>
        </w:rPr>
        <w:t>ividend income after they have been applied to other sources of income (which are subject to lower rates of tax) potentially increasing an individual’s overall tax liability.</w:t>
      </w:r>
    </w:p>
    <w:p w14:paraId="296D6D3E" w14:textId="77777777" w:rsidR="00786DD8" w:rsidRDefault="00786DD8" w:rsidP="00AD739E">
      <w:pPr>
        <w:pStyle w:val="NoSpacing"/>
        <w:jc w:val="both"/>
        <w:rPr>
          <w:rFonts w:ascii="Times New Roman" w:hAnsi="Times New Roman" w:cs="Times New Roman"/>
          <w:bCs/>
          <w:sz w:val="20"/>
        </w:rPr>
      </w:pPr>
    </w:p>
    <w:p w14:paraId="4DE05254" w14:textId="2F96CB57" w:rsidR="00AD739E" w:rsidRPr="00AD739E" w:rsidRDefault="00CE4FFA" w:rsidP="00AD739E">
      <w:pPr>
        <w:pStyle w:val="NoSpacing"/>
        <w:shd w:val="clear" w:color="auto" w:fill="D9D9D9" w:themeFill="background1" w:themeFillShade="D9"/>
        <w:jc w:val="both"/>
        <w:rPr>
          <w:rFonts w:ascii="Times New Roman" w:hAnsi="Times New Roman" w:cs="Times New Roman"/>
          <w:b/>
          <w:bCs/>
          <w:sz w:val="20"/>
          <w:szCs w:val="20"/>
        </w:rPr>
      </w:pPr>
      <w:r>
        <w:rPr>
          <w:rFonts w:ascii="Times New Roman" w:hAnsi="Times New Roman" w:cs="Times New Roman"/>
          <w:b/>
          <w:bCs/>
          <w:sz w:val="20"/>
          <w:szCs w:val="20"/>
        </w:rPr>
        <w:t>2</w:t>
      </w:r>
      <w:r w:rsidR="00AD739E" w:rsidRPr="00AD739E">
        <w:rPr>
          <w:rFonts w:ascii="Times New Roman" w:hAnsi="Times New Roman" w:cs="Times New Roman"/>
          <w:b/>
          <w:bCs/>
          <w:sz w:val="20"/>
          <w:szCs w:val="20"/>
        </w:rPr>
        <w:t>.</w:t>
      </w:r>
      <w:r w:rsidR="00AD739E">
        <w:rPr>
          <w:rFonts w:ascii="Times New Roman" w:hAnsi="Times New Roman" w:cs="Times New Roman"/>
          <w:b/>
          <w:bCs/>
          <w:sz w:val="20"/>
          <w:szCs w:val="20"/>
        </w:rPr>
        <w:t>3</w:t>
      </w:r>
      <w:r w:rsidR="00AD739E" w:rsidRPr="00AD739E">
        <w:rPr>
          <w:rFonts w:ascii="Times New Roman" w:hAnsi="Times New Roman" w:cs="Times New Roman"/>
          <w:b/>
          <w:bCs/>
          <w:sz w:val="20"/>
          <w:szCs w:val="20"/>
        </w:rPr>
        <w:t xml:space="preserve"> </w:t>
      </w:r>
      <w:r w:rsidR="00AD739E">
        <w:rPr>
          <w:rFonts w:ascii="Times New Roman" w:hAnsi="Times New Roman" w:cs="Times New Roman"/>
          <w:b/>
          <w:bCs/>
          <w:sz w:val="20"/>
          <w:szCs w:val="20"/>
        </w:rPr>
        <w:t>Sandle Nash</w:t>
      </w:r>
      <w:r w:rsidR="00CB7969">
        <w:rPr>
          <w:rFonts w:ascii="Times New Roman" w:hAnsi="Times New Roman" w:cs="Times New Roman"/>
          <w:b/>
          <w:bCs/>
          <w:sz w:val="20"/>
          <w:szCs w:val="20"/>
        </w:rPr>
        <w:t xml:space="preserve"> Limited C</w:t>
      </w:r>
      <w:r w:rsidR="00AD739E">
        <w:rPr>
          <w:rFonts w:ascii="Times New Roman" w:hAnsi="Times New Roman" w:cs="Times New Roman"/>
          <w:b/>
          <w:bCs/>
          <w:sz w:val="20"/>
          <w:szCs w:val="20"/>
        </w:rPr>
        <w:t>omments</w:t>
      </w:r>
      <w:r w:rsidR="00A31695">
        <w:rPr>
          <w:rFonts w:ascii="Times New Roman" w:hAnsi="Times New Roman" w:cs="Times New Roman"/>
          <w:b/>
          <w:bCs/>
          <w:sz w:val="20"/>
          <w:szCs w:val="20"/>
        </w:rPr>
        <w:t xml:space="preserve"> / </w:t>
      </w:r>
      <w:r w:rsidR="00CB7969">
        <w:rPr>
          <w:rFonts w:ascii="Times New Roman" w:hAnsi="Times New Roman" w:cs="Times New Roman"/>
          <w:b/>
          <w:bCs/>
          <w:sz w:val="20"/>
          <w:szCs w:val="20"/>
        </w:rPr>
        <w:t xml:space="preserve">Possible </w:t>
      </w:r>
      <w:r w:rsidR="00A31695">
        <w:rPr>
          <w:rFonts w:ascii="Times New Roman" w:hAnsi="Times New Roman" w:cs="Times New Roman"/>
          <w:b/>
          <w:bCs/>
          <w:sz w:val="20"/>
          <w:szCs w:val="20"/>
        </w:rPr>
        <w:t xml:space="preserve">Planning </w:t>
      </w:r>
      <w:r w:rsidR="00CB7969">
        <w:rPr>
          <w:rFonts w:ascii="Times New Roman" w:hAnsi="Times New Roman" w:cs="Times New Roman"/>
          <w:b/>
          <w:bCs/>
          <w:sz w:val="20"/>
          <w:szCs w:val="20"/>
        </w:rPr>
        <w:t>O</w:t>
      </w:r>
      <w:r w:rsidR="00A31695">
        <w:rPr>
          <w:rFonts w:ascii="Times New Roman" w:hAnsi="Times New Roman" w:cs="Times New Roman"/>
          <w:b/>
          <w:bCs/>
          <w:sz w:val="20"/>
          <w:szCs w:val="20"/>
        </w:rPr>
        <w:t>pportunities</w:t>
      </w:r>
    </w:p>
    <w:p w14:paraId="5836DBCA" w14:textId="77777777" w:rsidR="00681709" w:rsidRDefault="00681709" w:rsidP="00AD739E">
      <w:pPr>
        <w:pStyle w:val="NoSpacing"/>
        <w:jc w:val="both"/>
        <w:rPr>
          <w:rFonts w:ascii="Times New Roman" w:hAnsi="Times New Roman" w:cs="Times New Roman"/>
          <w:sz w:val="20"/>
          <w:szCs w:val="20"/>
        </w:rPr>
      </w:pPr>
    </w:p>
    <w:p w14:paraId="585483A8" w14:textId="25B9A041" w:rsidR="006542CA" w:rsidRPr="00087757" w:rsidRDefault="006542CA" w:rsidP="00AD739E">
      <w:pPr>
        <w:pStyle w:val="NoSpacing"/>
        <w:jc w:val="both"/>
        <w:rPr>
          <w:rFonts w:ascii="Times New Roman" w:hAnsi="Times New Roman" w:cs="Times New Roman"/>
          <w:color w:val="000000" w:themeColor="text1"/>
          <w:sz w:val="20"/>
          <w:szCs w:val="20"/>
        </w:rPr>
      </w:pPr>
      <w:r w:rsidRPr="00087757">
        <w:rPr>
          <w:rFonts w:ascii="Times New Roman" w:hAnsi="Times New Roman" w:cs="Times New Roman"/>
          <w:color w:val="000000" w:themeColor="text1"/>
          <w:sz w:val="20"/>
          <w:szCs w:val="20"/>
        </w:rPr>
        <w:t xml:space="preserve">These rises emphasise the importance of sheltering tax on </w:t>
      </w:r>
      <w:r w:rsidR="00FE1B49">
        <w:rPr>
          <w:rFonts w:ascii="Times New Roman" w:hAnsi="Times New Roman" w:cs="Times New Roman"/>
          <w:color w:val="000000" w:themeColor="text1"/>
          <w:sz w:val="20"/>
          <w:szCs w:val="20"/>
        </w:rPr>
        <w:t>d</w:t>
      </w:r>
      <w:r w:rsidRPr="00087757">
        <w:rPr>
          <w:rFonts w:ascii="Times New Roman" w:hAnsi="Times New Roman" w:cs="Times New Roman"/>
          <w:color w:val="000000" w:themeColor="text1"/>
          <w:sz w:val="20"/>
          <w:szCs w:val="20"/>
        </w:rPr>
        <w:t>ividends and savings in ISA</w:t>
      </w:r>
      <w:r w:rsidR="006772D7">
        <w:rPr>
          <w:rFonts w:ascii="Times New Roman" w:hAnsi="Times New Roman" w:cs="Times New Roman"/>
          <w:color w:val="000000" w:themeColor="text1"/>
          <w:sz w:val="20"/>
          <w:szCs w:val="20"/>
        </w:rPr>
        <w:t>s</w:t>
      </w:r>
      <w:r w:rsidRPr="00087757">
        <w:rPr>
          <w:rFonts w:ascii="Times New Roman" w:hAnsi="Times New Roman" w:cs="Times New Roman"/>
          <w:color w:val="000000" w:themeColor="text1"/>
          <w:sz w:val="20"/>
          <w:szCs w:val="20"/>
        </w:rPr>
        <w:t xml:space="preserve"> where possible (or a pension for longer term savings). The increases applied to </w:t>
      </w:r>
      <w:r w:rsidR="006772D7">
        <w:rPr>
          <w:rFonts w:ascii="Times New Roman" w:hAnsi="Times New Roman" w:cs="Times New Roman"/>
          <w:color w:val="000000" w:themeColor="text1"/>
          <w:sz w:val="20"/>
          <w:szCs w:val="20"/>
        </w:rPr>
        <w:t>O</w:t>
      </w:r>
      <w:r w:rsidRPr="00087757">
        <w:rPr>
          <w:rFonts w:ascii="Times New Roman" w:hAnsi="Times New Roman" w:cs="Times New Roman"/>
          <w:color w:val="000000" w:themeColor="text1"/>
          <w:sz w:val="20"/>
          <w:szCs w:val="20"/>
        </w:rPr>
        <w:t xml:space="preserve">ffshore </w:t>
      </w:r>
      <w:r w:rsidR="00FE1B49">
        <w:rPr>
          <w:rFonts w:ascii="Times New Roman" w:hAnsi="Times New Roman" w:cs="Times New Roman"/>
          <w:color w:val="000000" w:themeColor="text1"/>
          <w:sz w:val="20"/>
          <w:szCs w:val="20"/>
        </w:rPr>
        <w:t>B</w:t>
      </w:r>
      <w:r w:rsidRPr="00087757">
        <w:rPr>
          <w:rFonts w:ascii="Times New Roman" w:hAnsi="Times New Roman" w:cs="Times New Roman"/>
          <w:color w:val="000000" w:themeColor="text1"/>
          <w:sz w:val="20"/>
          <w:szCs w:val="20"/>
        </w:rPr>
        <w:t xml:space="preserve">onds can be </w:t>
      </w:r>
      <w:r w:rsidR="00FE1B49">
        <w:rPr>
          <w:rFonts w:ascii="Times New Roman" w:hAnsi="Times New Roman" w:cs="Times New Roman"/>
          <w:color w:val="000000" w:themeColor="text1"/>
          <w:sz w:val="20"/>
          <w:szCs w:val="20"/>
        </w:rPr>
        <w:t xml:space="preserve">managed </w:t>
      </w:r>
      <w:r w:rsidRPr="00087757">
        <w:rPr>
          <w:rFonts w:ascii="Times New Roman" w:hAnsi="Times New Roman" w:cs="Times New Roman"/>
          <w:color w:val="000000" w:themeColor="text1"/>
          <w:sz w:val="20"/>
          <w:szCs w:val="20"/>
        </w:rPr>
        <w:t>where withdrawals triggering a taxable gain can be taken within unused allowances.</w:t>
      </w:r>
    </w:p>
    <w:p w14:paraId="7B61CF97" w14:textId="77777777" w:rsidR="00CE4FFA" w:rsidRDefault="00CE4FFA" w:rsidP="00CE4FFA">
      <w:pPr>
        <w:pStyle w:val="NoSpacing"/>
        <w:jc w:val="both"/>
        <w:rPr>
          <w:rFonts w:ascii="Times New Roman" w:hAnsi="Times New Roman" w:cs="Times New Roman"/>
          <w:sz w:val="20"/>
          <w:szCs w:val="20"/>
        </w:rPr>
      </w:pPr>
    </w:p>
    <w:p w14:paraId="7265DA33" w14:textId="1ED69A97" w:rsidR="00CE4FFA" w:rsidRPr="00C63740" w:rsidRDefault="00CE4FFA" w:rsidP="00CE4FFA">
      <w:pPr>
        <w:pStyle w:val="NoSpacing"/>
        <w:shd w:val="clear" w:color="auto" w:fill="DBE5F1" w:themeFill="accent1" w:themeFillTint="33"/>
        <w:jc w:val="both"/>
        <w:rPr>
          <w:rFonts w:ascii="Times New Roman" w:hAnsi="Times New Roman" w:cs="Times New Roman"/>
          <w:b/>
          <w:bCs/>
          <w:sz w:val="20"/>
          <w:szCs w:val="20"/>
        </w:rPr>
      </w:pPr>
      <w:r w:rsidRPr="00CD4432">
        <w:rPr>
          <w:rFonts w:ascii="Times New Roman" w:hAnsi="Times New Roman" w:cs="Times New Roman"/>
          <w:b/>
          <w:bCs/>
          <w:sz w:val="20"/>
          <w:szCs w:val="20"/>
        </w:rPr>
        <w:t xml:space="preserve">To counter the impact </w:t>
      </w:r>
      <w:r>
        <w:rPr>
          <w:rFonts w:ascii="Times New Roman" w:hAnsi="Times New Roman" w:cs="Times New Roman"/>
          <w:b/>
          <w:bCs/>
          <w:sz w:val="20"/>
          <w:szCs w:val="20"/>
        </w:rPr>
        <w:t>of the tax increases</w:t>
      </w:r>
      <w:r w:rsidR="00A31695">
        <w:rPr>
          <w:rFonts w:ascii="Times New Roman" w:hAnsi="Times New Roman" w:cs="Times New Roman"/>
          <w:b/>
          <w:bCs/>
          <w:sz w:val="20"/>
          <w:szCs w:val="20"/>
        </w:rPr>
        <w:t>, the following actions could be considered</w:t>
      </w:r>
      <w:r w:rsidRPr="00CD4432">
        <w:rPr>
          <w:rFonts w:ascii="Times New Roman" w:hAnsi="Times New Roman" w:cs="Times New Roman"/>
          <w:b/>
          <w:bCs/>
          <w:sz w:val="20"/>
          <w:szCs w:val="20"/>
        </w:rPr>
        <w:t>:</w:t>
      </w:r>
    </w:p>
    <w:p w14:paraId="1DE68F03" w14:textId="69C6E658" w:rsidR="00CE4FFA" w:rsidRDefault="00CE4FFA" w:rsidP="0083002F">
      <w:pPr>
        <w:pStyle w:val="NoSpacing"/>
        <w:numPr>
          <w:ilvl w:val="0"/>
          <w:numId w:val="1"/>
        </w:numPr>
        <w:shd w:val="clear" w:color="auto" w:fill="DBE5F1" w:themeFill="accent1" w:themeFillTint="33"/>
        <w:jc w:val="both"/>
        <w:rPr>
          <w:rFonts w:ascii="Times New Roman" w:hAnsi="Times New Roman" w:cs="Times New Roman"/>
          <w:bCs/>
          <w:sz w:val="20"/>
          <w:szCs w:val="20"/>
        </w:rPr>
      </w:pPr>
      <w:r>
        <w:rPr>
          <w:rFonts w:ascii="Times New Roman" w:hAnsi="Times New Roman" w:cs="Times New Roman"/>
          <w:bCs/>
          <w:sz w:val="20"/>
          <w:szCs w:val="20"/>
        </w:rPr>
        <w:t>I</w:t>
      </w:r>
      <w:r w:rsidRPr="00CE4FFA">
        <w:rPr>
          <w:rFonts w:ascii="Times New Roman" w:hAnsi="Times New Roman" w:cs="Times New Roman"/>
          <w:bCs/>
          <w:sz w:val="20"/>
          <w:szCs w:val="20"/>
        </w:rPr>
        <w:t xml:space="preserve">SAs and </w:t>
      </w:r>
      <w:r>
        <w:rPr>
          <w:rFonts w:ascii="Times New Roman" w:hAnsi="Times New Roman" w:cs="Times New Roman"/>
          <w:bCs/>
          <w:sz w:val="20"/>
          <w:szCs w:val="20"/>
        </w:rPr>
        <w:t>Offshore</w:t>
      </w:r>
      <w:r w:rsidRPr="00CE4FFA">
        <w:rPr>
          <w:rFonts w:ascii="Times New Roman" w:hAnsi="Times New Roman" w:cs="Times New Roman"/>
          <w:bCs/>
          <w:sz w:val="20"/>
          <w:szCs w:val="20"/>
        </w:rPr>
        <w:t xml:space="preserve"> </w:t>
      </w:r>
      <w:r w:rsidR="00FE1B49">
        <w:rPr>
          <w:rFonts w:ascii="Times New Roman" w:hAnsi="Times New Roman" w:cs="Times New Roman"/>
          <w:bCs/>
          <w:sz w:val="20"/>
          <w:szCs w:val="20"/>
        </w:rPr>
        <w:t>B</w:t>
      </w:r>
      <w:r w:rsidRPr="00CE4FFA">
        <w:rPr>
          <w:rFonts w:ascii="Times New Roman" w:hAnsi="Times New Roman" w:cs="Times New Roman"/>
          <w:bCs/>
          <w:sz w:val="20"/>
          <w:szCs w:val="20"/>
        </w:rPr>
        <w:t xml:space="preserve">onds could complement or replace existing structures to provide a better tax </w:t>
      </w:r>
      <w:r w:rsidR="00FE1B49">
        <w:rPr>
          <w:rFonts w:ascii="Times New Roman" w:hAnsi="Times New Roman" w:cs="Times New Roman"/>
          <w:bCs/>
          <w:sz w:val="20"/>
          <w:szCs w:val="20"/>
        </w:rPr>
        <w:t>outcome</w:t>
      </w:r>
      <w:r w:rsidRPr="00CE4FFA">
        <w:rPr>
          <w:rFonts w:ascii="Times New Roman" w:hAnsi="Times New Roman" w:cs="Times New Roman"/>
          <w:bCs/>
          <w:sz w:val="20"/>
          <w:szCs w:val="20"/>
        </w:rPr>
        <w:t>.</w:t>
      </w:r>
    </w:p>
    <w:p w14:paraId="7EEAEC02" w14:textId="77777777" w:rsidR="00CE4FFA" w:rsidRDefault="00CE4FFA" w:rsidP="0083002F">
      <w:pPr>
        <w:pStyle w:val="NoSpacing"/>
        <w:numPr>
          <w:ilvl w:val="0"/>
          <w:numId w:val="1"/>
        </w:numPr>
        <w:shd w:val="clear" w:color="auto" w:fill="DBE5F1" w:themeFill="accent1" w:themeFillTint="33"/>
        <w:jc w:val="both"/>
        <w:rPr>
          <w:rFonts w:ascii="Times New Roman" w:hAnsi="Times New Roman" w:cs="Times New Roman"/>
          <w:bCs/>
          <w:sz w:val="20"/>
          <w:szCs w:val="20"/>
        </w:rPr>
      </w:pPr>
      <w:r w:rsidRPr="00CE4FFA">
        <w:rPr>
          <w:rFonts w:ascii="Times New Roman" w:hAnsi="Times New Roman" w:cs="Times New Roman"/>
          <w:bCs/>
          <w:sz w:val="20"/>
          <w:szCs w:val="20"/>
        </w:rPr>
        <w:t>Individuals may also wish to consider the structure (if any) in which they hold their properties.</w:t>
      </w:r>
    </w:p>
    <w:p w14:paraId="30CCBCB8" w14:textId="55F46C8D" w:rsidR="00CE4FFA" w:rsidRDefault="00CE4FFA" w:rsidP="0083002F">
      <w:pPr>
        <w:pStyle w:val="NoSpacing"/>
        <w:numPr>
          <w:ilvl w:val="0"/>
          <w:numId w:val="1"/>
        </w:numPr>
        <w:shd w:val="clear" w:color="auto" w:fill="DBE5F1" w:themeFill="accent1" w:themeFillTint="33"/>
        <w:jc w:val="both"/>
        <w:rPr>
          <w:rFonts w:ascii="Times New Roman" w:hAnsi="Times New Roman" w:cs="Times New Roman"/>
          <w:bCs/>
          <w:sz w:val="20"/>
          <w:szCs w:val="20"/>
        </w:rPr>
      </w:pPr>
      <w:r w:rsidRPr="00CE4FFA">
        <w:rPr>
          <w:rFonts w:ascii="Times New Roman" w:hAnsi="Times New Roman" w:cs="Times New Roman"/>
          <w:bCs/>
          <w:sz w:val="20"/>
          <w:szCs w:val="20"/>
        </w:rPr>
        <w:t xml:space="preserve">It could be prudent to bring forward </w:t>
      </w:r>
      <w:r w:rsidR="00FE1B49">
        <w:rPr>
          <w:rFonts w:ascii="Times New Roman" w:hAnsi="Times New Roman" w:cs="Times New Roman"/>
          <w:bCs/>
          <w:sz w:val="20"/>
          <w:szCs w:val="20"/>
        </w:rPr>
        <w:t>d</w:t>
      </w:r>
      <w:r w:rsidRPr="00CE4FFA">
        <w:rPr>
          <w:rFonts w:ascii="Times New Roman" w:hAnsi="Times New Roman" w:cs="Times New Roman"/>
          <w:bCs/>
          <w:sz w:val="20"/>
          <w:szCs w:val="20"/>
        </w:rPr>
        <w:t>ividend payments from businesses to avoid April 2026 rate increases.</w:t>
      </w:r>
    </w:p>
    <w:p w14:paraId="34DA665D" w14:textId="6B64DD06" w:rsidR="00CE4FFA" w:rsidRPr="00CE4FFA" w:rsidRDefault="00CE4FFA" w:rsidP="0083002F">
      <w:pPr>
        <w:pStyle w:val="NoSpacing"/>
        <w:numPr>
          <w:ilvl w:val="0"/>
          <w:numId w:val="1"/>
        </w:numPr>
        <w:shd w:val="clear" w:color="auto" w:fill="DBE5F1" w:themeFill="accent1" w:themeFillTint="33"/>
        <w:jc w:val="both"/>
        <w:rPr>
          <w:rFonts w:ascii="Times New Roman" w:hAnsi="Times New Roman" w:cs="Times New Roman"/>
          <w:bCs/>
          <w:sz w:val="20"/>
          <w:szCs w:val="20"/>
        </w:rPr>
      </w:pPr>
      <w:r w:rsidRPr="00CE4FFA">
        <w:rPr>
          <w:rFonts w:ascii="Times New Roman" w:hAnsi="Times New Roman" w:cs="Times New Roman"/>
          <w:bCs/>
          <w:sz w:val="20"/>
          <w:szCs w:val="20"/>
        </w:rPr>
        <w:t xml:space="preserve">Consider triggering </w:t>
      </w:r>
      <w:r w:rsidR="00FE1B49">
        <w:rPr>
          <w:rFonts w:ascii="Times New Roman" w:hAnsi="Times New Roman" w:cs="Times New Roman"/>
          <w:bCs/>
          <w:sz w:val="20"/>
          <w:szCs w:val="20"/>
        </w:rPr>
        <w:t>c</w:t>
      </w:r>
      <w:r w:rsidRPr="00CE4FFA">
        <w:rPr>
          <w:rFonts w:ascii="Times New Roman" w:hAnsi="Times New Roman" w:cs="Times New Roman"/>
          <w:bCs/>
          <w:sz w:val="20"/>
          <w:szCs w:val="20"/>
        </w:rPr>
        <w:t xml:space="preserve">hargeable </w:t>
      </w:r>
      <w:r w:rsidR="00FE1B49">
        <w:rPr>
          <w:rFonts w:ascii="Times New Roman" w:hAnsi="Times New Roman" w:cs="Times New Roman"/>
          <w:bCs/>
          <w:sz w:val="20"/>
          <w:szCs w:val="20"/>
        </w:rPr>
        <w:t>e</w:t>
      </w:r>
      <w:r w:rsidRPr="00CE4FFA">
        <w:rPr>
          <w:rFonts w:ascii="Times New Roman" w:hAnsi="Times New Roman" w:cs="Times New Roman"/>
          <w:bCs/>
          <w:sz w:val="20"/>
          <w:szCs w:val="20"/>
        </w:rPr>
        <w:t xml:space="preserve">vents on Onshore and Offshore </w:t>
      </w:r>
      <w:r w:rsidR="00FE1B49">
        <w:rPr>
          <w:rFonts w:ascii="Times New Roman" w:hAnsi="Times New Roman" w:cs="Times New Roman"/>
          <w:bCs/>
          <w:sz w:val="20"/>
          <w:szCs w:val="20"/>
        </w:rPr>
        <w:t>B</w:t>
      </w:r>
      <w:r w:rsidRPr="00CE4FFA">
        <w:rPr>
          <w:rFonts w:ascii="Times New Roman" w:hAnsi="Times New Roman" w:cs="Times New Roman"/>
          <w:bCs/>
          <w:sz w:val="20"/>
          <w:szCs w:val="20"/>
        </w:rPr>
        <w:t>onds before April 2027 to tax gains under current (lower) rates.</w:t>
      </w:r>
    </w:p>
    <w:p w14:paraId="7A0BE33F" w14:textId="77777777" w:rsidR="0045200B" w:rsidRDefault="0045200B" w:rsidP="00A56698">
      <w:pPr>
        <w:pStyle w:val="NoSpacing"/>
        <w:rPr>
          <w:rFonts w:ascii="Times New Roman" w:hAnsi="Times New Roman" w:cs="Times New Roman"/>
          <w:bCs/>
          <w:sz w:val="18"/>
          <w:szCs w:val="20"/>
        </w:rPr>
      </w:pPr>
    </w:p>
    <w:p w14:paraId="2EB8070B" w14:textId="322AFD1D" w:rsidR="00A56698" w:rsidRPr="009C032A" w:rsidRDefault="00CE4FFA" w:rsidP="003A3802">
      <w:pPr>
        <w:pStyle w:val="NoSpacing"/>
        <w:shd w:val="clear" w:color="auto" w:fill="336699"/>
        <w:rPr>
          <w:rFonts w:ascii="Times New Roman" w:hAnsi="Times New Roman" w:cs="Times New Roman"/>
          <w:sz w:val="18"/>
          <w:szCs w:val="18"/>
        </w:rPr>
      </w:pPr>
      <w:r>
        <w:rPr>
          <w:rFonts w:ascii="Times New Roman" w:hAnsi="Times New Roman" w:cs="Times New Roman"/>
          <w:b/>
          <w:color w:val="FFFFFF" w:themeColor="background1"/>
          <w:sz w:val="20"/>
          <w:szCs w:val="20"/>
        </w:rPr>
        <w:t>3</w:t>
      </w:r>
      <w:r w:rsidR="00A56698" w:rsidRPr="009C032A">
        <w:rPr>
          <w:rFonts w:ascii="Times New Roman" w:hAnsi="Times New Roman" w:cs="Times New Roman"/>
          <w:b/>
          <w:color w:val="FFFFFF" w:themeColor="background1"/>
          <w:sz w:val="20"/>
          <w:szCs w:val="20"/>
        </w:rPr>
        <w:t xml:space="preserve">. </w:t>
      </w:r>
      <w:r w:rsidR="00DA7599">
        <w:rPr>
          <w:rFonts w:ascii="Times New Roman" w:hAnsi="Times New Roman" w:cs="Times New Roman"/>
          <w:b/>
          <w:color w:val="FFFFFF" w:themeColor="background1"/>
          <w:sz w:val="20"/>
          <w:szCs w:val="20"/>
        </w:rPr>
        <w:t>ISA Allowance</w:t>
      </w:r>
    </w:p>
    <w:p w14:paraId="1E8FE409" w14:textId="77777777" w:rsidR="003A3802" w:rsidRPr="005E2F2F" w:rsidRDefault="003A3802" w:rsidP="003A3802">
      <w:pPr>
        <w:pStyle w:val="NoSpacing"/>
        <w:shd w:val="clear" w:color="auto" w:fill="FFFFFF" w:themeFill="background1"/>
        <w:jc w:val="both"/>
        <w:rPr>
          <w:rFonts w:ascii="Times New Roman" w:hAnsi="Times New Roman" w:cs="Times New Roman"/>
          <w:b/>
          <w:bCs/>
          <w:sz w:val="20"/>
          <w:szCs w:val="20"/>
        </w:rPr>
      </w:pPr>
    </w:p>
    <w:p w14:paraId="64F308A9" w14:textId="5E47E677" w:rsidR="00A56698" w:rsidRPr="00AD739E" w:rsidRDefault="00CE4FFA" w:rsidP="00A56698">
      <w:pPr>
        <w:pStyle w:val="NoSpacing"/>
        <w:shd w:val="clear" w:color="auto" w:fill="D9D9D9" w:themeFill="background1" w:themeFillShade="D9"/>
        <w:jc w:val="both"/>
        <w:rPr>
          <w:rFonts w:ascii="Times New Roman" w:hAnsi="Times New Roman" w:cs="Times New Roman"/>
          <w:b/>
          <w:bCs/>
          <w:sz w:val="20"/>
          <w:szCs w:val="20"/>
        </w:rPr>
      </w:pPr>
      <w:r>
        <w:rPr>
          <w:rFonts w:ascii="Times New Roman" w:hAnsi="Times New Roman" w:cs="Times New Roman"/>
          <w:b/>
          <w:bCs/>
          <w:sz w:val="20"/>
          <w:szCs w:val="20"/>
        </w:rPr>
        <w:t>3</w:t>
      </w:r>
      <w:r w:rsidR="00A56698" w:rsidRPr="00AD739E">
        <w:rPr>
          <w:rFonts w:ascii="Times New Roman" w:hAnsi="Times New Roman" w:cs="Times New Roman"/>
          <w:b/>
          <w:bCs/>
          <w:sz w:val="20"/>
          <w:szCs w:val="20"/>
        </w:rPr>
        <w:t xml:space="preserve">.1 Announcement </w:t>
      </w:r>
    </w:p>
    <w:p w14:paraId="15D99277" w14:textId="77777777" w:rsidR="003A3802" w:rsidRDefault="003A3802" w:rsidP="003A3802">
      <w:pPr>
        <w:pStyle w:val="NoSpacing"/>
        <w:jc w:val="both"/>
        <w:rPr>
          <w:rFonts w:ascii="Times New Roman" w:hAnsi="Times New Roman" w:cs="Times New Roman"/>
          <w:bCs/>
          <w:sz w:val="20"/>
        </w:rPr>
      </w:pPr>
    </w:p>
    <w:p w14:paraId="241E5EA6" w14:textId="77777777" w:rsidR="00DA7599" w:rsidRPr="0045200B" w:rsidRDefault="00DA7599" w:rsidP="0083002F">
      <w:pPr>
        <w:pStyle w:val="NoSpacing"/>
        <w:numPr>
          <w:ilvl w:val="0"/>
          <w:numId w:val="9"/>
        </w:numPr>
        <w:ind w:left="360"/>
        <w:jc w:val="both"/>
        <w:rPr>
          <w:rFonts w:ascii="Times New Roman" w:hAnsi="Times New Roman" w:cs="Times New Roman"/>
          <w:bCs/>
          <w:color w:val="000000" w:themeColor="text1"/>
          <w:sz w:val="20"/>
          <w:szCs w:val="20"/>
        </w:rPr>
      </w:pPr>
      <w:r w:rsidRPr="0045200B">
        <w:rPr>
          <w:rFonts w:ascii="Times New Roman" w:hAnsi="Times New Roman" w:cs="Times New Roman"/>
          <w:bCs/>
          <w:color w:val="000000" w:themeColor="text1"/>
          <w:sz w:val="20"/>
          <w:szCs w:val="20"/>
        </w:rPr>
        <w:t>Although the Chancellor maintained the overall annual ISA limit at £20,000, from April 2027, only individuals aged 65 and over will be able to save the full £20,000 into a Cash ISA.</w:t>
      </w:r>
    </w:p>
    <w:p w14:paraId="77C3BE17" w14:textId="1F55F924" w:rsidR="00DA7599" w:rsidRPr="0045200B" w:rsidRDefault="00DA7599" w:rsidP="0083002F">
      <w:pPr>
        <w:pStyle w:val="NoSpacing"/>
        <w:numPr>
          <w:ilvl w:val="0"/>
          <w:numId w:val="9"/>
        </w:numPr>
        <w:ind w:left="360"/>
        <w:jc w:val="both"/>
        <w:rPr>
          <w:rFonts w:ascii="Times New Roman" w:hAnsi="Times New Roman" w:cs="Times New Roman"/>
          <w:bCs/>
          <w:color w:val="000000" w:themeColor="text1"/>
          <w:sz w:val="20"/>
          <w:szCs w:val="20"/>
        </w:rPr>
      </w:pPr>
      <w:r w:rsidRPr="0045200B">
        <w:rPr>
          <w:rFonts w:ascii="Times New Roman" w:hAnsi="Times New Roman" w:cs="Times New Roman"/>
          <w:bCs/>
          <w:color w:val="000000" w:themeColor="text1"/>
          <w:sz w:val="20"/>
          <w:szCs w:val="20"/>
        </w:rPr>
        <w:t xml:space="preserve">For those under 65, the Cash ISA limit will be capped at £12,000, with the remaining £8,000 allowance available for investment into a Stocks and Shares ISA. </w:t>
      </w:r>
    </w:p>
    <w:p w14:paraId="789075E4" w14:textId="77777777" w:rsidR="0045200B" w:rsidRDefault="0045200B" w:rsidP="00A56698">
      <w:pPr>
        <w:pStyle w:val="NoSpacing"/>
        <w:jc w:val="both"/>
        <w:rPr>
          <w:rFonts w:ascii="Times New Roman" w:hAnsi="Times New Roman" w:cs="Times New Roman"/>
          <w:bCs/>
          <w:sz w:val="20"/>
        </w:rPr>
      </w:pPr>
    </w:p>
    <w:p w14:paraId="2CA3B7BD" w14:textId="77777777" w:rsidR="0045200B" w:rsidRDefault="0045200B" w:rsidP="00A56698">
      <w:pPr>
        <w:pStyle w:val="NoSpacing"/>
        <w:jc w:val="both"/>
        <w:rPr>
          <w:rFonts w:ascii="Times New Roman" w:hAnsi="Times New Roman" w:cs="Times New Roman"/>
          <w:bCs/>
          <w:sz w:val="20"/>
        </w:rPr>
      </w:pPr>
    </w:p>
    <w:p w14:paraId="04CD7E85" w14:textId="77777777" w:rsidR="0045200B" w:rsidRDefault="0045200B" w:rsidP="00A56698">
      <w:pPr>
        <w:pStyle w:val="NoSpacing"/>
        <w:jc w:val="both"/>
        <w:rPr>
          <w:rFonts w:ascii="Times New Roman" w:hAnsi="Times New Roman" w:cs="Times New Roman"/>
          <w:bCs/>
          <w:sz w:val="20"/>
        </w:rPr>
      </w:pPr>
    </w:p>
    <w:p w14:paraId="4930209A" w14:textId="77777777" w:rsidR="0045200B" w:rsidRDefault="0045200B" w:rsidP="00A56698">
      <w:pPr>
        <w:pStyle w:val="NoSpacing"/>
        <w:jc w:val="both"/>
        <w:rPr>
          <w:rFonts w:ascii="Times New Roman" w:hAnsi="Times New Roman" w:cs="Times New Roman"/>
          <w:bCs/>
          <w:sz w:val="20"/>
        </w:rPr>
      </w:pPr>
    </w:p>
    <w:p w14:paraId="761B406E" w14:textId="77777777" w:rsidR="0045200B" w:rsidRDefault="0045200B" w:rsidP="00A56698">
      <w:pPr>
        <w:pStyle w:val="NoSpacing"/>
        <w:jc w:val="both"/>
        <w:rPr>
          <w:rFonts w:ascii="Times New Roman" w:hAnsi="Times New Roman" w:cs="Times New Roman"/>
          <w:bCs/>
          <w:sz w:val="20"/>
        </w:rPr>
      </w:pPr>
    </w:p>
    <w:p w14:paraId="376E7015" w14:textId="38652DBB" w:rsidR="00A56698" w:rsidRPr="00AD739E" w:rsidRDefault="00CE4FFA" w:rsidP="00A56698">
      <w:pPr>
        <w:pStyle w:val="NoSpacing"/>
        <w:shd w:val="clear" w:color="auto" w:fill="D9D9D9" w:themeFill="background1" w:themeFillShade="D9"/>
        <w:jc w:val="both"/>
        <w:rPr>
          <w:rFonts w:ascii="Times New Roman" w:hAnsi="Times New Roman" w:cs="Times New Roman"/>
          <w:b/>
          <w:bCs/>
          <w:sz w:val="20"/>
          <w:szCs w:val="20"/>
        </w:rPr>
      </w:pPr>
      <w:r>
        <w:rPr>
          <w:rFonts w:ascii="Times New Roman" w:hAnsi="Times New Roman" w:cs="Times New Roman"/>
          <w:b/>
          <w:bCs/>
          <w:sz w:val="20"/>
          <w:szCs w:val="20"/>
        </w:rPr>
        <w:t>3</w:t>
      </w:r>
      <w:r w:rsidR="00A56698" w:rsidRPr="00AD739E">
        <w:rPr>
          <w:rFonts w:ascii="Times New Roman" w:hAnsi="Times New Roman" w:cs="Times New Roman"/>
          <w:b/>
          <w:bCs/>
          <w:sz w:val="20"/>
          <w:szCs w:val="20"/>
        </w:rPr>
        <w:t>.</w:t>
      </w:r>
      <w:r w:rsidR="00A56698">
        <w:rPr>
          <w:rFonts w:ascii="Times New Roman" w:hAnsi="Times New Roman" w:cs="Times New Roman"/>
          <w:b/>
          <w:bCs/>
          <w:sz w:val="20"/>
          <w:szCs w:val="20"/>
        </w:rPr>
        <w:t>2</w:t>
      </w:r>
      <w:r w:rsidR="00A56698" w:rsidRPr="00AD739E">
        <w:rPr>
          <w:rFonts w:ascii="Times New Roman" w:hAnsi="Times New Roman" w:cs="Times New Roman"/>
          <w:b/>
          <w:bCs/>
          <w:sz w:val="20"/>
          <w:szCs w:val="20"/>
        </w:rPr>
        <w:t xml:space="preserve"> </w:t>
      </w:r>
      <w:r w:rsidR="00A56698">
        <w:rPr>
          <w:rFonts w:ascii="Times New Roman" w:hAnsi="Times New Roman" w:cs="Times New Roman"/>
          <w:b/>
          <w:bCs/>
          <w:sz w:val="20"/>
          <w:szCs w:val="20"/>
        </w:rPr>
        <w:t>Impact</w:t>
      </w:r>
    </w:p>
    <w:p w14:paraId="01CD6149" w14:textId="77777777" w:rsidR="0045200B" w:rsidRDefault="0045200B" w:rsidP="00A56698">
      <w:pPr>
        <w:pStyle w:val="NoSpacing"/>
        <w:jc w:val="both"/>
        <w:rPr>
          <w:rFonts w:ascii="Times New Roman" w:hAnsi="Times New Roman" w:cs="Times New Roman"/>
          <w:bCs/>
          <w:sz w:val="20"/>
        </w:rPr>
      </w:pPr>
    </w:p>
    <w:p w14:paraId="67E91502" w14:textId="73622F26" w:rsidR="0045200B" w:rsidRPr="0045200B" w:rsidRDefault="0045200B" w:rsidP="0083002F">
      <w:pPr>
        <w:pStyle w:val="NoSpacing"/>
        <w:numPr>
          <w:ilvl w:val="0"/>
          <w:numId w:val="8"/>
        </w:numPr>
        <w:jc w:val="both"/>
        <w:rPr>
          <w:rFonts w:ascii="Times New Roman" w:hAnsi="Times New Roman" w:cs="Times New Roman"/>
          <w:bCs/>
          <w:sz w:val="20"/>
        </w:rPr>
      </w:pPr>
      <w:r>
        <w:rPr>
          <w:rFonts w:ascii="Times New Roman" w:hAnsi="Times New Roman" w:cs="Times New Roman"/>
          <w:bCs/>
          <w:sz w:val="20"/>
        </w:rPr>
        <w:t>The change c</w:t>
      </w:r>
      <w:r w:rsidRPr="0045200B">
        <w:rPr>
          <w:rFonts w:ascii="Times New Roman" w:hAnsi="Times New Roman" w:cs="Times New Roman"/>
          <w:bCs/>
          <w:sz w:val="20"/>
        </w:rPr>
        <w:t>ould affect individuals’ ability to accumulate cash savings in a tax-efficient manner.</w:t>
      </w:r>
    </w:p>
    <w:p w14:paraId="4BB3F05D" w14:textId="73D7EF33" w:rsidR="00DA7599" w:rsidRDefault="0045200B" w:rsidP="0083002F">
      <w:pPr>
        <w:pStyle w:val="NoSpacing"/>
        <w:numPr>
          <w:ilvl w:val="0"/>
          <w:numId w:val="8"/>
        </w:numPr>
        <w:jc w:val="both"/>
        <w:rPr>
          <w:rFonts w:ascii="Times New Roman" w:hAnsi="Times New Roman" w:cs="Times New Roman"/>
          <w:bCs/>
          <w:sz w:val="20"/>
        </w:rPr>
      </w:pPr>
      <w:r w:rsidRPr="0045200B">
        <w:rPr>
          <w:rFonts w:ascii="Times New Roman" w:hAnsi="Times New Roman" w:cs="Times New Roman"/>
          <w:bCs/>
          <w:sz w:val="20"/>
        </w:rPr>
        <w:t>Some cash savers may be risk averse to investing in a Stocks and Shares ISA.</w:t>
      </w:r>
    </w:p>
    <w:p w14:paraId="3C85D237" w14:textId="77777777" w:rsidR="0045200B" w:rsidRDefault="0045200B" w:rsidP="00A56698">
      <w:pPr>
        <w:pStyle w:val="NoSpacing"/>
        <w:jc w:val="both"/>
        <w:rPr>
          <w:rFonts w:ascii="Times New Roman" w:hAnsi="Times New Roman" w:cs="Times New Roman"/>
          <w:bCs/>
          <w:sz w:val="20"/>
        </w:rPr>
      </w:pPr>
    </w:p>
    <w:p w14:paraId="559DA196" w14:textId="34A19890" w:rsidR="00A56698" w:rsidRPr="00AD739E" w:rsidRDefault="00CE4FFA" w:rsidP="00A56698">
      <w:pPr>
        <w:pStyle w:val="NoSpacing"/>
        <w:shd w:val="clear" w:color="auto" w:fill="D9D9D9" w:themeFill="background1" w:themeFillShade="D9"/>
        <w:jc w:val="both"/>
        <w:rPr>
          <w:rFonts w:ascii="Times New Roman" w:hAnsi="Times New Roman" w:cs="Times New Roman"/>
          <w:b/>
          <w:bCs/>
          <w:sz w:val="20"/>
          <w:szCs w:val="20"/>
        </w:rPr>
      </w:pPr>
      <w:r>
        <w:rPr>
          <w:rFonts w:ascii="Times New Roman" w:hAnsi="Times New Roman" w:cs="Times New Roman"/>
          <w:b/>
          <w:bCs/>
          <w:sz w:val="20"/>
          <w:szCs w:val="20"/>
        </w:rPr>
        <w:t>3</w:t>
      </w:r>
      <w:r w:rsidR="00A56698" w:rsidRPr="00AD739E">
        <w:rPr>
          <w:rFonts w:ascii="Times New Roman" w:hAnsi="Times New Roman" w:cs="Times New Roman"/>
          <w:b/>
          <w:bCs/>
          <w:sz w:val="20"/>
          <w:szCs w:val="20"/>
        </w:rPr>
        <w:t>.</w:t>
      </w:r>
      <w:r w:rsidR="00A56698">
        <w:rPr>
          <w:rFonts w:ascii="Times New Roman" w:hAnsi="Times New Roman" w:cs="Times New Roman"/>
          <w:b/>
          <w:bCs/>
          <w:sz w:val="20"/>
          <w:szCs w:val="20"/>
        </w:rPr>
        <w:t>3</w:t>
      </w:r>
      <w:r w:rsidR="00A56698" w:rsidRPr="00AD739E">
        <w:rPr>
          <w:rFonts w:ascii="Times New Roman" w:hAnsi="Times New Roman" w:cs="Times New Roman"/>
          <w:b/>
          <w:bCs/>
          <w:sz w:val="20"/>
          <w:szCs w:val="20"/>
        </w:rPr>
        <w:t xml:space="preserve"> </w:t>
      </w:r>
      <w:r w:rsidR="00A56698">
        <w:rPr>
          <w:rFonts w:ascii="Times New Roman" w:hAnsi="Times New Roman" w:cs="Times New Roman"/>
          <w:b/>
          <w:bCs/>
          <w:sz w:val="20"/>
          <w:szCs w:val="20"/>
        </w:rPr>
        <w:t xml:space="preserve">Sandle Nash </w:t>
      </w:r>
      <w:r w:rsidR="00650A76">
        <w:rPr>
          <w:rFonts w:ascii="Times New Roman" w:hAnsi="Times New Roman" w:cs="Times New Roman"/>
          <w:b/>
          <w:bCs/>
          <w:sz w:val="20"/>
          <w:szCs w:val="20"/>
        </w:rPr>
        <w:t>Limited C</w:t>
      </w:r>
      <w:r w:rsidR="00A56698">
        <w:rPr>
          <w:rFonts w:ascii="Times New Roman" w:hAnsi="Times New Roman" w:cs="Times New Roman"/>
          <w:b/>
          <w:bCs/>
          <w:sz w:val="20"/>
          <w:szCs w:val="20"/>
        </w:rPr>
        <w:t>omments</w:t>
      </w:r>
      <w:r w:rsidR="00A31695">
        <w:rPr>
          <w:rFonts w:ascii="Times New Roman" w:hAnsi="Times New Roman" w:cs="Times New Roman"/>
          <w:b/>
          <w:bCs/>
          <w:sz w:val="20"/>
          <w:szCs w:val="20"/>
        </w:rPr>
        <w:t xml:space="preserve"> / P</w:t>
      </w:r>
      <w:r w:rsidR="00650A76">
        <w:rPr>
          <w:rFonts w:ascii="Times New Roman" w:hAnsi="Times New Roman" w:cs="Times New Roman"/>
          <w:b/>
          <w:bCs/>
          <w:sz w:val="20"/>
          <w:szCs w:val="20"/>
        </w:rPr>
        <w:t>ossible P</w:t>
      </w:r>
      <w:r w:rsidR="00A31695">
        <w:rPr>
          <w:rFonts w:ascii="Times New Roman" w:hAnsi="Times New Roman" w:cs="Times New Roman"/>
          <w:b/>
          <w:bCs/>
          <w:sz w:val="20"/>
          <w:szCs w:val="20"/>
        </w:rPr>
        <w:t xml:space="preserve">lanning </w:t>
      </w:r>
      <w:r w:rsidR="00650A76">
        <w:rPr>
          <w:rFonts w:ascii="Times New Roman" w:hAnsi="Times New Roman" w:cs="Times New Roman"/>
          <w:b/>
          <w:bCs/>
          <w:sz w:val="20"/>
          <w:szCs w:val="20"/>
        </w:rPr>
        <w:t>O</w:t>
      </w:r>
      <w:r w:rsidR="00A31695">
        <w:rPr>
          <w:rFonts w:ascii="Times New Roman" w:hAnsi="Times New Roman" w:cs="Times New Roman"/>
          <w:b/>
          <w:bCs/>
          <w:sz w:val="20"/>
          <w:szCs w:val="20"/>
        </w:rPr>
        <w:t>pportunities</w:t>
      </w:r>
    </w:p>
    <w:p w14:paraId="1B4CE50A" w14:textId="77777777" w:rsidR="00A56698" w:rsidRPr="0045200B" w:rsidRDefault="00A56698" w:rsidP="00A56698">
      <w:pPr>
        <w:pStyle w:val="NoSpacing"/>
        <w:jc w:val="both"/>
        <w:rPr>
          <w:rFonts w:ascii="Times New Roman" w:hAnsi="Times New Roman" w:cs="Times New Roman"/>
          <w:color w:val="000000" w:themeColor="text1"/>
          <w:sz w:val="20"/>
          <w:szCs w:val="20"/>
        </w:rPr>
      </w:pPr>
    </w:p>
    <w:p w14:paraId="05076ACB" w14:textId="77777777" w:rsidR="00DA7599" w:rsidRPr="0045200B" w:rsidRDefault="00DA7599" w:rsidP="00DA7599">
      <w:pPr>
        <w:pStyle w:val="NoSpacing"/>
        <w:jc w:val="both"/>
        <w:rPr>
          <w:rFonts w:ascii="Times New Roman" w:hAnsi="Times New Roman" w:cs="Times New Roman"/>
          <w:bCs/>
          <w:color w:val="000000" w:themeColor="text1"/>
          <w:sz w:val="20"/>
          <w:szCs w:val="20"/>
        </w:rPr>
      </w:pPr>
      <w:r w:rsidRPr="0045200B">
        <w:rPr>
          <w:rFonts w:ascii="Times New Roman" w:hAnsi="Times New Roman" w:cs="Times New Roman"/>
          <w:bCs/>
          <w:color w:val="000000" w:themeColor="text1"/>
          <w:sz w:val="20"/>
          <w:szCs w:val="20"/>
        </w:rPr>
        <w:t>We do not yet know if this change will be accompanied by a restriction on transfers from Stocks &amp; Shares ISAs to Cash ISAs, or any other complexity.</w:t>
      </w:r>
    </w:p>
    <w:p w14:paraId="08989324" w14:textId="77777777" w:rsidR="00DA7599" w:rsidRPr="0045200B" w:rsidRDefault="00DA7599" w:rsidP="00DA7599">
      <w:pPr>
        <w:pStyle w:val="NoSpacing"/>
        <w:jc w:val="both"/>
        <w:rPr>
          <w:rFonts w:ascii="Times New Roman" w:hAnsi="Times New Roman" w:cs="Times New Roman"/>
          <w:bCs/>
          <w:color w:val="000000" w:themeColor="text1"/>
          <w:sz w:val="20"/>
          <w:szCs w:val="20"/>
        </w:rPr>
      </w:pPr>
    </w:p>
    <w:p w14:paraId="605171B1" w14:textId="419D1D0B" w:rsidR="00DA7599" w:rsidRPr="0045200B" w:rsidRDefault="00DA7599" w:rsidP="00DA7599">
      <w:pPr>
        <w:pStyle w:val="NoSpacing"/>
        <w:jc w:val="both"/>
        <w:rPr>
          <w:rFonts w:ascii="Times New Roman" w:hAnsi="Times New Roman" w:cs="Times New Roman"/>
          <w:bCs/>
          <w:color w:val="000000" w:themeColor="text1"/>
          <w:sz w:val="20"/>
          <w:szCs w:val="20"/>
        </w:rPr>
      </w:pPr>
      <w:r w:rsidRPr="0045200B">
        <w:rPr>
          <w:rFonts w:ascii="Times New Roman" w:hAnsi="Times New Roman" w:cs="Times New Roman"/>
          <w:bCs/>
          <w:color w:val="000000" w:themeColor="text1"/>
          <w:sz w:val="20"/>
          <w:szCs w:val="20"/>
        </w:rPr>
        <w:t xml:space="preserve">There will also be a consultation on reforming Lifetime ISAs. The proposal will be to replace Lifetime ISAs with another ISA product aimed at </w:t>
      </w:r>
      <w:r w:rsidR="00650A76">
        <w:rPr>
          <w:rFonts w:ascii="Times New Roman" w:hAnsi="Times New Roman" w:cs="Times New Roman"/>
          <w:bCs/>
          <w:color w:val="000000" w:themeColor="text1"/>
          <w:sz w:val="20"/>
          <w:szCs w:val="20"/>
        </w:rPr>
        <w:t>f</w:t>
      </w:r>
      <w:r w:rsidRPr="0045200B">
        <w:rPr>
          <w:rFonts w:ascii="Times New Roman" w:hAnsi="Times New Roman" w:cs="Times New Roman"/>
          <w:bCs/>
          <w:color w:val="000000" w:themeColor="text1"/>
          <w:sz w:val="20"/>
          <w:szCs w:val="20"/>
        </w:rPr>
        <w:t xml:space="preserve">irst </w:t>
      </w:r>
      <w:r w:rsidR="00650A76">
        <w:rPr>
          <w:rFonts w:ascii="Times New Roman" w:hAnsi="Times New Roman" w:cs="Times New Roman"/>
          <w:bCs/>
          <w:color w:val="000000" w:themeColor="text1"/>
          <w:sz w:val="20"/>
          <w:szCs w:val="20"/>
        </w:rPr>
        <w:t>t</w:t>
      </w:r>
      <w:r w:rsidRPr="0045200B">
        <w:rPr>
          <w:rFonts w:ascii="Times New Roman" w:hAnsi="Times New Roman" w:cs="Times New Roman"/>
          <w:bCs/>
          <w:color w:val="000000" w:themeColor="text1"/>
          <w:sz w:val="20"/>
          <w:szCs w:val="20"/>
        </w:rPr>
        <w:t xml:space="preserve">ime </w:t>
      </w:r>
      <w:r w:rsidR="00650A76">
        <w:rPr>
          <w:rFonts w:ascii="Times New Roman" w:hAnsi="Times New Roman" w:cs="Times New Roman"/>
          <w:bCs/>
          <w:color w:val="000000" w:themeColor="text1"/>
          <w:sz w:val="20"/>
          <w:szCs w:val="20"/>
        </w:rPr>
        <w:t>b</w:t>
      </w:r>
      <w:r w:rsidRPr="0045200B">
        <w:rPr>
          <w:rFonts w:ascii="Times New Roman" w:hAnsi="Times New Roman" w:cs="Times New Roman"/>
          <w:bCs/>
          <w:color w:val="000000" w:themeColor="text1"/>
          <w:sz w:val="20"/>
          <w:szCs w:val="20"/>
        </w:rPr>
        <w:t>uyers. The consultation is expected to be published in early 2026.</w:t>
      </w:r>
    </w:p>
    <w:p w14:paraId="1F7A66BB" w14:textId="77777777" w:rsidR="0045200B" w:rsidRDefault="0045200B" w:rsidP="0045200B">
      <w:pPr>
        <w:pStyle w:val="NoSpacing"/>
        <w:jc w:val="both"/>
        <w:rPr>
          <w:rFonts w:ascii="Times New Roman" w:hAnsi="Times New Roman" w:cs="Times New Roman"/>
          <w:sz w:val="20"/>
          <w:szCs w:val="20"/>
        </w:rPr>
      </w:pPr>
    </w:p>
    <w:p w14:paraId="35C3E8AE" w14:textId="6321564B" w:rsidR="0045200B" w:rsidRDefault="0045200B" w:rsidP="0045200B">
      <w:pPr>
        <w:pStyle w:val="NoSpacing"/>
        <w:shd w:val="clear" w:color="auto" w:fill="DBE5F1" w:themeFill="accent1" w:themeFillTint="33"/>
        <w:jc w:val="both"/>
        <w:rPr>
          <w:rFonts w:ascii="Times New Roman" w:hAnsi="Times New Roman" w:cs="Times New Roman"/>
          <w:b/>
          <w:bCs/>
          <w:sz w:val="20"/>
          <w:szCs w:val="20"/>
        </w:rPr>
      </w:pPr>
      <w:r w:rsidRPr="00CD4432">
        <w:rPr>
          <w:rFonts w:ascii="Times New Roman" w:hAnsi="Times New Roman" w:cs="Times New Roman"/>
          <w:b/>
          <w:bCs/>
          <w:sz w:val="20"/>
          <w:szCs w:val="20"/>
        </w:rPr>
        <w:t xml:space="preserve">To counter the impact </w:t>
      </w:r>
      <w:r>
        <w:rPr>
          <w:rFonts w:ascii="Times New Roman" w:hAnsi="Times New Roman" w:cs="Times New Roman"/>
          <w:b/>
          <w:bCs/>
          <w:sz w:val="20"/>
          <w:szCs w:val="20"/>
        </w:rPr>
        <w:t>of the Cash ISA restriction, the following actions could be considered</w:t>
      </w:r>
      <w:r w:rsidRPr="00CD4432">
        <w:rPr>
          <w:rFonts w:ascii="Times New Roman" w:hAnsi="Times New Roman" w:cs="Times New Roman"/>
          <w:b/>
          <w:bCs/>
          <w:sz w:val="20"/>
          <w:szCs w:val="20"/>
        </w:rPr>
        <w:t>:</w:t>
      </w:r>
    </w:p>
    <w:p w14:paraId="3D883AF7" w14:textId="3E0C9486" w:rsidR="0045200B" w:rsidRPr="0045200B" w:rsidRDefault="0045200B" w:rsidP="0083002F">
      <w:pPr>
        <w:pStyle w:val="NoSpacing"/>
        <w:numPr>
          <w:ilvl w:val="0"/>
          <w:numId w:val="10"/>
        </w:numPr>
        <w:shd w:val="clear" w:color="auto" w:fill="DBE5F1" w:themeFill="accent1" w:themeFillTint="33"/>
        <w:jc w:val="both"/>
        <w:rPr>
          <w:rFonts w:ascii="Times New Roman" w:hAnsi="Times New Roman" w:cs="Times New Roman"/>
          <w:bCs/>
          <w:sz w:val="20"/>
        </w:rPr>
      </w:pPr>
      <w:r w:rsidRPr="0045200B">
        <w:rPr>
          <w:rFonts w:ascii="Times New Roman" w:hAnsi="Times New Roman" w:cs="Times New Roman"/>
          <w:bCs/>
          <w:sz w:val="20"/>
        </w:rPr>
        <w:t xml:space="preserve">Spouse/partner strategy: </w:t>
      </w:r>
      <w:r w:rsidR="00650A76">
        <w:rPr>
          <w:rFonts w:ascii="Times New Roman" w:hAnsi="Times New Roman" w:cs="Times New Roman"/>
          <w:bCs/>
          <w:sz w:val="20"/>
        </w:rPr>
        <w:t>b</w:t>
      </w:r>
      <w:r w:rsidRPr="0045200B">
        <w:rPr>
          <w:rFonts w:ascii="Times New Roman" w:hAnsi="Times New Roman" w:cs="Times New Roman"/>
          <w:bCs/>
          <w:sz w:val="20"/>
        </w:rPr>
        <w:t>alance income and assets between partners to leverage both allowances.</w:t>
      </w:r>
    </w:p>
    <w:p w14:paraId="2E4AE083" w14:textId="0AD6BC22" w:rsidR="0045200B" w:rsidRPr="0045200B" w:rsidRDefault="0045200B" w:rsidP="0083002F">
      <w:pPr>
        <w:pStyle w:val="NoSpacing"/>
        <w:numPr>
          <w:ilvl w:val="0"/>
          <w:numId w:val="10"/>
        </w:numPr>
        <w:shd w:val="clear" w:color="auto" w:fill="DBE5F1" w:themeFill="accent1" w:themeFillTint="33"/>
        <w:jc w:val="both"/>
        <w:rPr>
          <w:rFonts w:ascii="Times New Roman" w:hAnsi="Times New Roman" w:cs="Times New Roman"/>
          <w:bCs/>
          <w:sz w:val="20"/>
        </w:rPr>
      </w:pPr>
      <w:r w:rsidRPr="0045200B">
        <w:rPr>
          <w:rFonts w:ascii="Times New Roman" w:hAnsi="Times New Roman" w:cs="Times New Roman"/>
          <w:bCs/>
          <w:sz w:val="20"/>
        </w:rPr>
        <w:t xml:space="preserve">Diversify investment structures: </w:t>
      </w:r>
      <w:r w:rsidR="00650A76">
        <w:rPr>
          <w:rFonts w:ascii="Times New Roman" w:hAnsi="Times New Roman" w:cs="Times New Roman"/>
          <w:bCs/>
          <w:sz w:val="20"/>
        </w:rPr>
        <w:t>for example, u</w:t>
      </w:r>
      <w:r w:rsidRPr="0045200B">
        <w:rPr>
          <w:rFonts w:ascii="Times New Roman" w:hAnsi="Times New Roman" w:cs="Times New Roman"/>
          <w:bCs/>
          <w:sz w:val="20"/>
        </w:rPr>
        <w:t>se pensions, general investment accounts, ISAs</w:t>
      </w:r>
      <w:r w:rsidR="00650A76">
        <w:rPr>
          <w:rFonts w:ascii="Times New Roman" w:hAnsi="Times New Roman" w:cs="Times New Roman"/>
          <w:bCs/>
          <w:sz w:val="20"/>
        </w:rPr>
        <w:t xml:space="preserve"> and </w:t>
      </w:r>
      <w:r>
        <w:rPr>
          <w:rFonts w:ascii="Times New Roman" w:hAnsi="Times New Roman" w:cs="Times New Roman"/>
          <w:bCs/>
          <w:sz w:val="20"/>
        </w:rPr>
        <w:t>Offshore</w:t>
      </w:r>
      <w:r w:rsidRPr="0045200B">
        <w:rPr>
          <w:rFonts w:ascii="Times New Roman" w:hAnsi="Times New Roman" w:cs="Times New Roman"/>
          <w:bCs/>
          <w:sz w:val="20"/>
        </w:rPr>
        <w:t xml:space="preserve"> </w:t>
      </w:r>
      <w:r w:rsidR="00650A76">
        <w:rPr>
          <w:rFonts w:ascii="Times New Roman" w:hAnsi="Times New Roman" w:cs="Times New Roman"/>
          <w:bCs/>
          <w:sz w:val="20"/>
        </w:rPr>
        <w:t>B</w:t>
      </w:r>
      <w:r w:rsidRPr="0045200B">
        <w:rPr>
          <w:rFonts w:ascii="Times New Roman" w:hAnsi="Times New Roman" w:cs="Times New Roman"/>
          <w:bCs/>
          <w:sz w:val="20"/>
        </w:rPr>
        <w:t>onds</w:t>
      </w:r>
      <w:r>
        <w:rPr>
          <w:rFonts w:ascii="Times New Roman" w:hAnsi="Times New Roman" w:cs="Times New Roman"/>
          <w:bCs/>
          <w:sz w:val="20"/>
        </w:rPr>
        <w:t xml:space="preserve"> to </w:t>
      </w:r>
      <w:r w:rsidRPr="0045200B">
        <w:rPr>
          <w:rFonts w:ascii="Times New Roman" w:hAnsi="Times New Roman" w:cs="Times New Roman"/>
          <w:bCs/>
          <w:sz w:val="20"/>
        </w:rPr>
        <w:t>minimise tax exposure.</w:t>
      </w:r>
    </w:p>
    <w:p w14:paraId="042E4C7D" w14:textId="77777777" w:rsidR="0045200B" w:rsidRPr="0045200B" w:rsidRDefault="0045200B" w:rsidP="0083002F">
      <w:pPr>
        <w:pStyle w:val="NoSpacing"/>
        <w:numPr>
          <w:ilvl w:val="0"/>
          <w:numId w:val="10"/>
        </w:numPr>
        <w:shd w:val="clear" w:color="auto" w:fill="DBE5F1" w:themeFill="accent1" w:themeFillTint="33"/>
        <w:jc w:val="both"/>
        <w:rPr>
          <w:rFonts w:ascii="Times New Roman" w:hAnsi="Times New Roman" w:cs="Times New Roman"/>
          <w:bCs/>
          <w:sz w:val="20"/>
        </w:rPr>
      </w:pPr>
      <w:r w:rsidRPr="0045200B">
        <w:rPr>
          <w:rFonts w:ascii="Times New Roman" w:hAnsi="Times New Roman" w:cs="Times New Roman"/>
          <w:bCs/>
          <w:sz w:val="20"/>
        </w:rPr>
        <w:t>Re-evaluate saving objectives: short term vs long term.</w:t>
      </w:r>
    </w:p>
    <w:p w14:paraId="7F3900B1" w14:textId="77777777" w:rsidR="0045200B" w:rsidRPr="0045200B" w:rsidRDefault="0045200B" w:rsidP="0083002F">
      <w:pPr>
        <w:pStyle w:val="NoSpacing"/>
        <w:numPr>
          <w:ilvl w:val="0"/>
          <w:numId w:val="10"/>
        </w:numPr>
        <w:shd w:val="clear" w:color="auto" w:fill="DBE5F1" w:themeFill="accent1" w:themeFillTint="33"/>
        <w:jc w:val="both"/>
        <w:rPr>
          <w:rFonts w:ascii="Times New Roman" w:hAnsi="Times New Roman" w:cs="Times New Roman"/>
          <w:bCs/>
          <w:sz w:val="20"/>
        </w:rPr>
      </w:pPr>
      <w:r w:rsidRPr="0045200B">
        <w:rPr>
          <w:rFonts w:ascii="Times New Roman" w:hAnsi="Times New Roman" w:cs="Times New Roman"/>
          <w:bCs/>
          <w:sz w:val="20"/>
        </w:rPr>
        <w:t>Those looking for low-risk, tax-efficient investing could consider using a Stocks and Shares ISA to invest in lower-risk strategies such as cash funds.</w:t>
      </w:r>
    </w:p>
    <w:p w14:paraId="77AFAC0D" w14:textId="5D363862" w:rsidR="0045200B" w:rsidRPr="0045200B" w:rsidRDefault="0045200B" w:rsidP="0083002F">
      <w:pPr>
        <w:pStyle w:val="NoSpacing"/>
        <w:numPr>
          <w:ilvl w:val="0"/>
          <w:numId w:val="10"/>
        </w:numPr>
        <w:shd w:val="clear" w:color="auto" w:fill="DBE5F1" w:themeFill="accent1" w:themeFillTint="33"/>
        <w:jc w:val="both"/>
        <w:rPr>
          <w:rFonts w:ascii="Times New Roman" w:hAnsi="Times New Roman" w:cs="Times New Roman"/>
          <w:bCs/>
          <w:sz w:val="20"/>
        </w:rPr>
      </w:pPr>
      <w:r w:rsidRPr="0045200B">
        <w:rPr>
          <w:rFonts w:ascii="Times New Roman" w:hAnsi="Times New Roman" w:cs="Times New Roman"/>
          <w:bCs/>
          <w:sz w:val="20"/>
        </w:rPr>
        <w:t xml:space="preserve">Alternatively, individuals could look to </w:t>
      </w:r>
      <w:r>
        <w:rPr>
          <w:rFonts w:ascii="Times New Roman" w:hAnsi="Times New Roman" w:cs="Times New Roman"/>
          <w:bCs/>
          <w:sz w:val="20"/>
        </w:rPr>
        <w:t>G</w:t>
      </w:r>
      <w:r w:rsidRPr="0045200B">
        <w:rPr>
          <w:rFonts w:ascii="Times New Roman" w:hAnsi="Times New Roman" w:cs="Times New Roman"/>
          <w:bCs/>
          <w:sz w:val="20"/>
        </w:rPr>
        <w:t>ilts (</w:t>
      </w:r>
      <w:r>
        <w:rPr>
          <w:rFonts w:ascii="Times New Roman" w:hAnsi="Times New Roman" w:cs="Times New Roman"/>
          <w:bCs/>
          <w:sz w:val="20"/>
        </w:rPr>
        <w:t>G</w:t>
      </w:r>
      <w:r w:rsidRPr="0045200B">
        <w:rPr>
          <w:rFonts w:ascii="Times New Roman" w:hAnsi="Times New Roman" w:cs="Times New Roman"/>
          <w:bCs/>
          <w:sz w:val="20"/>
        </w:rPr>
        <w:t xml:space="preserve">overnment </w:t>
      </w:r>
      <w:r w:rsidR="00650A76">
        <w:rPr>
          <w:rFonts w:ascii="Times New Roman" w:hAnsi="Times New Roman" w:cs="Times New Roman"/>
          <w:bCs/>
          <w:sz w:val="20"/>
        </w:rPr>
        <w:t>B</w:t>
      </w:r>
      <w:r w:rsidRPr="0045200B">
        <w:rPr>
          <w:rFonts w:ascii="Times New Roman" w:hAnsi="Times New Roman" w:cs="Times New Roman"/>
          <w:bCs/>
          <w:sz w:val="20"/>
        </w:rPr>
        <w:t xml:space="preserve">onds) and </w:t>
      </w:r>
      <w:r>
        <w:rPr>
          <w:rFonts w:ascii="Times New Roman" w:hAnsi="Times New Roman" w:cs="Times New Roman"/>
          <w:bCs/>
          <w:sz w:val="20"/>
        </w:rPr>
        <w:t>C</w:t>
      </w:r>
      <w:r w:rsidRPr="0045200B">
        <w:rPr>
          <w:rFonts w:ascii="Times New Roman" w:hAnsi="Times New Roman" w:cs="Times New Roman"/>
          <w:bCs/>
          <w:sz w:val="20"/>
        </w:rPr>
        <w:t xml:space="preserve">orporate </w:t>
      </w:r>
      <w:r w:rsidR="00650A76">
        <w:rPr>
          <w:rFonts w:ascii="Times New Roman" w:hAnsi="Times New Roman" w:cs="Times New Roman"/>
          <w:bCs/>
          <w:sz w:val="20"/>
        </w:rPr>
        <w:t>D</w:t>
      </w:r>
      <w:r w:rsidRPr="0045200B">
        <w:rPr>
          <w:rFonts w:ascii="Times New Roman" w:hAnsi="Times New Roman" w:cs="Times New Roman"/>
          <w:bCs/>
          <w:sz w:val="20"/>
        </w:rPr>
        <w:t xml:space="preserve">ebt (qualifying </w:t>
      </w:r>
      <w:r>
        <w:rPr>
          <w:rFonts w:ascii="Times New Roman" w:hAnsi="Times New Roman" w:cs="Times New Roman"/>
          <w:bCs/>
          <w:sz w:val="20"/>
        </w:rPr>
        <w:t>C</w:t>
      </w:r>
      <w:r w:rsidRPr="0045200B">
        <w:rPr>
          <w:rFonts w:ascii="Times New Roman" w:hAnsi="Times New Roman" w:cs="Times New Roman"/>
          <w:bCs/>
          <w:sz w:val="20"/>
        </w:rPr>
        <w:t xml:space="preserve">orporate </w:t>
      </w:r>
      <w:r w:rsidR="00650A76">
        <w:rPr>
          <w:rFonts w:ascii="Times New Roman" w:hAnsi="Times New Roman" w:cs="Times New Roman"/>
          <w:bCs/>
          <w:sz w:val="20"/>
        </w:rPr>
        <w:t>B</w:t>
      </w:r>
      <w:r w:rsidRPr="0045200B">
        <w:rPr>
          <w:rFonts w:ascii="Times New Roman" w:hAnsi="Times New Roman" w:cs="Times New Roman"/>
          <w:bCs/>
          <w:sz w:val="20"/>
        </w:rPr>
        <w:t>onds) to generate tax-efficient returns. When held without a tax wrapper (</w:t>
      </w:r>
      <w:r w:rsidR="001A13D3">
        <w:rPr>
          <w:rFonts w:ascii="Times New Roman" w:hAnsi="Times New Roman" w:cs="Times New Roman"/>
          <w:bCs/>
          <w:sz w:val="20"/>
        </w:rPr>
        <w:t>for example,</w:t>
      </w:r>
      <w:r w:rsidRPr="0045200B">
        <w:rPr>
          <w:rFonts w:ascii="Times New Roman" w:hAnsi="Times New Roman" w:cs="Times New Roman"/>
          <w:bCs/>
          <w:sz w:val="20"/>
        </w:rPr>
        <w:t xml:space="preserve"> in your personal name and not in an ISA, pension or qualifying </w:t>
      </w:r>
      <w:r>
        <w:rPr>
          <w:rFonts w:ascii="Times New Roman" w:hAnsi="Times New Roman" w:cs="Times New Roman"/>
          <w:bCs/>
          <w:sz w:val="20"/>
        </w:rPr>
        <w:t>C</w:t>
      </w:r>
      <w:r w:rsidRPr="0045200B">
        <w:rPr>
          <w:rFonts w:ascii="Times New Roman" w:hAnsi="Times New Roman" w:cs="Times New Roman"/>
          <w:bCs/>
          <w:sz w:val="20"/>
        </w:rPr>
        <w:t xml:space="preserve">orporate </w:t>
      </w:r>
      <w:r w:rsidR="001A13D3">
        <w:rPr>
          <w:rFonts w:ascii="Times New Roman" w:hAnsi="Times New Roman" w:cs="Times New Roman"/>
          <w:bCs/>
          <w:sz w:val="20"/>
        </w:rPr>
        <w:t>B</w:t>
      </w:r>
      <w:r w:rsidRPr="0045200B">
        <w:rPr>
          <w:rFonts w:ascii="Times New Roman" w:hAnsi="Times New Roman" w:cs="Times New Roman"/>
          <w:bCs/>
          <w:sz w:val="20"/>
        </w:rPr>
        <w:t xml:space="preserve">ond), they provide returns free of </w:t>
      </w:r>
      <w:r w:rsidR="001A13D3">
        <w:rPr>
          <w:rFonts w:ascii="Times New Roman" w:hAnsi="Times New Roman" w:cs="Times New Roman"/>
          <w:bCs/>
          <w:sz w:val="20"/>
        </w:rPr>
        <w:t>c</w:t>
      </w:r>
      <w:r w:rsidRPr="0045200B">
        <w:rPr>
          <w:rFonts w:ascii="Times New Roman" w:hAnsi="Times New Roman" w:cs="Times New Roman"/>
          <w:bCs/>
          <w:sz w:val="20"/>
        </w:rPr>
        <w:t xml:space="preserve">apital </w:t>
      </w:r>
      <w:r w:rsidR="001A13D3">
        <w:rPr>
          <w:rFonts w:ascii="Times New Roman" w:hAnsi="Times New Roman" w:cs="Times New Roman"/>
          <w:bCs/>
          <w:sz w:val="20"/>
        </w:rPr>
        <w:t>g</w:t>
      </w:r>
      <w:r w:rsidRPr="0045200B">
        <w:rPr>
          <w:rFonts w:ascii="Times New Roman" w:hAnsi="Times New Roman" w:cs="Times New Roman"/>
          <w:bCs/>
          <w:sz w:val="20"/>
        </w:rPr>
        <w:t xml:space="preserve">ains </w:t>
      </w:r>
      <w:r w:rsidR="001A13D3">
        <w:rPr>
          <w:rFonts w:ascii="Times New Roman" w:hAnsi="Times New Roman" w:cs="Times New Roman"/>
          <w:bCs/>
          <w:sz w:val="20"/>
        </w:rPr>
        <w:t>t</w:t>
      </w:r>
      <w:r w:rsidRPr="0045200B">
        <w:rPr>
          <w:rFonts w:ascii="Times New Roman" w:hAnsi="Times New Roman" w:cs="Times New Roman"/>
          <w:bCs/>
          <w:sz w:val="20"/>
        </w:rPr>
        <w:t xml:space="preserve">ax but are subject to income tax. As a result, low-yielding investments that generate returns through </w:t>
      </w:r>
      <w:r w:rsidR="001A13D3">
        <w:rPr>
          <w:rFonts w:ascii="Times New Roman" w:hAnsi="Times New Roman" w:cs="Times New Roman"/>
          <w:bCs/>
          <w:sz w:val="20"/>
        </w:rPr>
        <w:t>c</w:t>
      </w:r>
      <w:r w:rsidRPr="0045200B">
        <w:rPr>
          <w:rFonts w:ascii="Times New Roman" w:hAnsi="Times New Roman" w:cs="Times New Roman"/>
          <w:bCs/>
          <w:sz w:val="20"/>
        </w:rPr>
        <w:t xml:space="preserve">apital </w:t>
      </w:r>
      <w:r w:rsidR="001A13D3">
        <w:rPr>
          <w:rFonts w:ascii="Times New Roman" w:hAnsi="Times New Roman" w:cs="Times New Roman"/>
          <w:bCs/>
          <w:sz w:val="20"/>
        </w:rPr>
        <w:t>g</w:t>
      </w:r>
      <w:r w:rsidRPr="0045200B">
        <w:rPr>
          <w:rFonts w:ascii="Times New Roman" w:hAnsi="Times New Roman" w:cs="Times New Roman"/>
          <w:bCs/>
          <w:sz w:val="20"/>
        </w:rPr>
        <w:t>ains can be attractive lower-risk alternatives to Cash ISAs.</w:t>
      </w:r>
    </w:p>
    <w:p w14:paraId="24ADDE98" w14:textId="05680095" w:rsidR="0045200B" w:rsidRPr="0045200B" w:rsidRDefault="0045200B" w:rsidP="0083002F">
      <w:pPr>
        <w:pStyle w:val="NoSpacing"/>
        <w:numPr>
          <w:ilvl w:val="0"/>
          <w:numId w:val="10"/>
        </w:numPr>
        <w:shd w:val="clear" w:color="auto" w:fill="DBE5F1" w:themeFill="accent1" w:themeFillTint="33"/>
        <w:jc w:val="both"/>
        <w:rPr>
          <w:rFonts w:ascii="Times New Roman" w:hAnsi="Times New Roman" w:cs="Times New Roman"/>
          <w:bCs/>
          <w:sz w:val="20"/>
        </w:rPr>
      </w:pPr>
      <w:r w:rsidRPr="0045200B">
        <w:rPr>
          <w:rFonts w:ascii="Times New Roman" w:hAnsi="Times New Roman" w:cs="Times New Roman"/>
          <w:bCs/>
          <w:sz w:val="20"/>
        </w:rPr>
        <w:t>Over 65s: can continue to put the full £20,000 allowance into a Cash ISA.</w:t>
      </w:r>
    </w:p>
    <w:p w14:paraId="3194407A" w14:textId="77777777" w:rsidR="0045200B" w:rsidRDefault="0045200B" w:rsidP="00FE371C">
      <w:pPr>
        <w:pStyle w:val="NoSpacing"/>
        <w:rPr>
          <w:rFonts w:ascii="Times New Roman" w:hAnsi="Times New Roman" w:cs="Times New Roman"/>
          <w:b/>
          <w:sz w:val="20"/>
        </w:rPr>
      </w:pPr>
    </w:p>
    <w:p w14:paraId="1F5BCE8A" w14:textId="7A9CA595" w:rsidR="00DA7599" w:rsidRPr="009C032A" w:rsidRDefault="00CE4FFA" w:rsidP="00DA7599">
      <w:pPr>
        <w:pStyle w:val="NoSpacing"/>
        <w:shd w:val="clear" w:color="auto" w:fill="336699"/>
        <w:rPr>
          <w:rFonts w:ascii="Times New Roman" w:hAnsi="Times New Roman" w:cs="Times New Roman"/>
          <w:sz w:val="18"/>
          <w:szCs w:val="18"/>
        </w:rPr>
      </w:pPr>
      <w:r>
        <w:rPr>
          <w:rFonts w:ascii="Times New Roman" w:hAnsi="Times New Roman" w:cs="Times New Roman"/>
          <w:b/>
          <w:color w:val="FFFFFF" w:themeColor="background1"/>
          <w:sz w:val="20"/>
          <w:szCs w:val="20"/>
        </w:rPr>
        <w:t>4</w:t>
      </w:r>
      <w:r w:rsidR="00DA7599" w:rsidRPr="009C032A">
        <w:rPr>
          <w:rFonts w:ascii="Times New Roman" w:hAnsi="Times New Roman" w:cs="Times New Roman"/>
          <w:b/>
          <w:color w:val="FFFFFF" w:themeColor="background1"/>
          <w:sz w:val="20"/>
          <w:szCs w:val="20"/>
        </w:rPr>
        <w:t xml:space="preserve">. </w:t>
      </w:r>
      <w:r w:rsidR="00DA7599">
        <w:rPr>
          <w:rFonts w:ascii="Times New Roman" w:hAnsi="Times New Roman" w:cs="Times New Roman"/>
          <w:b/>
          <w:color w:val="FFFFFF" w:themeColor="background1"/>
          <w:sz w:val="20"/>
          <w:szCs w:val="20"/>
        </w:rPr>
        <w:t>Salary</w:t>
      </w:r>
      <w:r w:rsidR="00A31695">
        <w:rPr>
          <w:rFonts w:ascii="Times New Roman" w:hAnsi="Times New Roman" w:cs="Times New Roman"/>
          <w:b/>
          <w:color w:val="FFFFFF" w:themeColor="background1"/>
          <w:sz w:val="20"/>
          <w:szCs w:val="20"/>
        </w:rPr>
        <w:t xml:space="preserve"> </w:t>
      </w:r>
      <w:r w:rsidR="001A13D3">
        <w:rPr>
          <w:rFonts w:ascii="Times New Roman" w:hAnsi="Times New Roman" w:cs="Times New Roman"/>
          <w:b/>
          <w:color w:val="FFFFFF" w:themeColor="background1"/>
          <w:sz w:val="20"/>
          <w:szCs w:val="20"/>
        </w:rPr>
        <w:t>S</w:t>
      </w:r>
      <w:r w:rsidR="00DA7599">
        <w:rPr>
          <w:rFonts w:ascii="Times New Roman" w:hAnsi="Times New Roman" w:cs="Times New Roman"/>
          <w:b/>
          <w:color w:val="FFFFFF" w:themeColor="background1"/>
          <w:sz w:val="20"/>
          <w:szCs w:val="20"/>
        </w:rPr>
        <w:t xml:space="preserve">acrifice </w:t>
      </w:r>
      <w:r w:rsidR="001A13D3">
        <w:rPr>
          <w:rFonts w:ascii="Times New Roman" w:hAnsi="Times New Roman" w:cs="Times New Roman"/>
          <w:b/>
          <w:color w:val="FFFFFF" w:themeColor="background1"/>
          <w:sz w:val="20"/>
          <w:szCs w:val="20"/>
        </w:rPr>
        <w:t>P</w:t>
      </w:r>
      <w:r w:rsidR="00DA7599">
        <w:rPr>
          <w:rFonts w:ascii="Times New Roman" w:hAnsi="Times New Roman" w:cs="Times New Roman"/>
          <w:b/>
          <w:color w:val="FFFFFF" w:themeColor="background1"/>
          <w:sz w:val="20"/>
          <w:szCs w:val="20"/>
        </w:rPr>
        <w:t xml:space="preserve">ension </w:t>
      </w:r>
      <w:r w:rsidR="001A13D3">
        <w:rPr>
          <w:rFonts w:ascii="Times New Roman" w:hAnsi="Times New Roman" w:cs="Times New Roman"/>
          <w:b/>
          <w:color w:val="FFFFFF" w:themeColor="background1"/>
          <w:sz w:val="20"/>
          <w:szCs w:val="20"/>
        </w:rPr>
        <w:t>C</w:t>
      </w:r>
      <w:r w:rsidR="00DA7599">
        <w:rPr>
          <w:rFonts w:ascii="Times New Roman" w:hAnsi="Times New Roman" w:cs="Times New Roman"/>
          <w:b/>
          <w:color w:val="FFFFFF" w:themeColor="background1"/>
          <w:sz w:val="20"/>
          <w:szCs w:val="20"/>
        </w:rPr>
        <w:t xml:space="preserve">ontributions </w:t>
      </w:r>
    </w:p>
    <w:p w14:paraId="200F54E8" w14:textId="77777777" w:rsidR="00DA7599" w:rsidRPr="005E2F2F" w:rsidRDefault="00DA7599" w:rsidP="00DA7599">
      <w:pPr>
        <w:pStyle w:val="NoSpacing"/>
        <w:shd w:val="clear" w:color="auto" w:fill="FFFFFF" w:themeFill="background1"/>
        <w:jc w:val="both"/>
        <w:rPr>
          <w:rFonts w:ascii="Times New Roman" w:hAnsi="Times New Roman" w:cs="Times New Roman"/>
          <w:b/>
          <w:bCs/>
          <w:sz w:val="20"/>
          <w:szCs w:val="20"/>
        </w:rPr>
      </w:pPr>
    </w:p>
    <w:p w14:paraId="07391AC8" w14:textId="2B3794A1" w:rsidR="00DA7599" w:rsidRPr="00AD739E" w:rsidRDefault="00A31695" w:rsidP="00DA7599">
      <w:pPr>
        <w:pStyle w:val="NoSpacing"/>
        <w:shd w:val="clear" w:color="auto" w:fill="D9D9D9" w:themeFill="background1" w:themeFillShade="D9"/>
        <w:jc w:val="both"/>
        <w:rPr>
          <w:rFonts w:ascii="Times New Roman" w:hAnsi="Times New Roman" w:cs="Times New Roman"/>
          <w:b/>
          <w:bCs/>
          <w:sz w:val="20"/>
          <w:szCs w:val="20"/>
        </w:rPr>
      </w:pPr>
      <w:r>
        <w:rPr>
          <w:rFonts w:ascii="Times New Roman" w:hAnsi="Times New Roman" w:cs="Times New Roman"/>
          <w:b/>
          <w:bCs/>
          <w:sz w:val="20"/>
          <w:szCs w:val="20"/>
        </w:rPr>
        <w:t>4</w:t>
      </w:r>
      <w:r w:rsidR="00DA7599" w:rsidRPr="00AD739E">
        <w:rPr>
          <w:rFonts w:ascii="Times New Roman" w:hAnsi="Times New Roman" w:cs="Times New Roman"/>
          <w:b/>
          <w:bCs/>
          <w:sz w:val="20"/>
          <w:szCs w:val="20"/>
        </w:rPr>
        <w:t xml:space="preserve">.1 Announcement </w:t>
      </w:r>
    </w:p>
    <w:p w14:paraId="74F6185E" w14:textId="77777777" w:rsidR="00DA7599" w:rsidRPr="0045200B" w:rsidRDefault="00DA7599" w:rsidP="00DA7599">
      <w:pPr>
        <w:pStyle w:val="NoSpacing"/>
        <w:jc w:val="both"/>
        <w:rPr>
          <w:rFonts w:ascii="Times New Roman" w:hAnsi="Times New Roman" w:cs="Times New Roman"/>
          <w:bCs/>
          <w:color w:val="000000" w:themeColor="text1"/>
          <w:sz w:val="20"/>
          <w:szCs w:val="20"/>
        </w:rPr>
      </w:pPr>
    </w:p>
    <w:p w14:paraId="03A2FE8E" w14:textId="77777777" w:rsidR="00DA7599" w:rsidRPr="0045200B" w:rsidRDefault="00DA7599" w:rsidP="0083002F">
      <w:pPr>
        <w:pStyle w:val="NoSpacing"/>
        <w:numPr>
          <w:ilvl w:val="0"/>
          <w:numId w:val="12"/>
        </w:numPr>
        <w:ind w:left="360"/>
        <w:jc w:val="both"/>
        <w:rPr>
          <w:rFonts w:ascii="Times New Roman" w:hAnsi="Times New Roman" w:cs="Times New Roman"/>
          <w:bCs/>
          <w:color w:val="000000" w:themeColor="text1"/>
          <w:sz w:val="20"/>
          <w:szCs w:val="20"/>
        </w:rPr>
      </w:pPr>
      <w:r w:rsidRPr="0045200B">
        <w:rPr>
          <w:rFonts w:ascii="Times New Roman" w:hAnsi="Times New Roman" w:cs="Times New Roman"/>
          <w:bCs/>
          <w:color w:val="000000" w:themeColor="text1"/>
          <w:sz w:val="20"/>
          <w:szCs w:val="20"/>
        </w:rPr>
        <w:t>From April 2029, the National Insurance (NI) exemption for pension contributions made by salary sacrifice will be limited to £2,000 a year. This means that both employees and employers will have to pay NI on any salary sacrificed over this amount.</w:t>
      </w:r>
    </w:p>
    <w:p w14:paraId="32DB637D" w14:textId="2CC82AF3" w:rsidR="00DA7599" w:rsidRPr="0045200B" w:rsidRDefault="001A13D3" w:rsidP="0083002F">
      <w:pPr>
        <w:pStyle w:val="NoSpacing"/>
        <w:numPr>
          <w:ilvl w:val="0"/>
          <w:numId w:val="12"/>
        </w:numPr>
        <w:ind w:left="360"/>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F</w:t>
      </w:r>
      <w:r w:rsidR="00DA7599" w:rsidRPr="0045200B">
        <w:rPr>
          <w:rFonts w:ascii="Times New Roman" w:hAnsi="Times New Roman" w:cs="Times New Roman"/>
          <w:bCs/>
          <w:color w:val="000000" w:themeColor="text1"/>
          <w:sz w:val="20"/>
          <w:szCs w:val="20"/>
        </w:rPr>
        <w:t xml:space="preserve">or example, in a scheme where employees make pension contributions of 5% of earnings via salary sacrifice, </w:t>
      </w:r>
      <w:r>
        <w:rPr>
          <w:rFonts w:ascii="Times New Roman" w:hAnsi="Times New Roman" w:cs="Times New Roman"/>
          <w:bCs/>
          <w:color w:val="000000" w:themeColor="text1"/>
          <w:sz w:val="20"/>
          <w:szCs w:val="20"/>
        </w:rPr>
        <w:t>only</w:t>
      </w:r>
      <w:r w:rsidR="00DA7599" w:rsidRPr="0045200B">
        <w:rPr>
          <w:rFonts w:ascii="Times New Roman" w:hAnsi="Times New Roman" w:cs="Times New Roman"/>
          <w:bCs/>
          <w:color w:val="000000" w:themeColor="text1"/>
          <w:sz w:val="20"/>
          <w:szCs w:val="20"/>
        </w:rPr>
        <w:t xml:space="preserve"> employees </w:t>
      </w:r>
      <w:r>
        <w:rPr>
          <w:rFonts w:ascii="Times New Roman" w:hAnsi="Times New Roman" w:cs="Times New Roman"/>
          <w:bCs/>
          <w:color w:val="000000" w:themeColor="text1"/>
          <w:sz w:val="20"/>
          <w:szCs w:val="20"/>
        </w:rPr>
        <w:t>earning in excess of</w:t>
      </w:r>
      <w:r w:rsidR="00DA7599" w:rsidRPr="0045200B">
        <w:rPr>
          <w:rFonts w:ascii="Times New Roman" w:hAnsi="Times New Roman" w:cs="Times New Roman"/>
          <w:bCs/>
          <w:color w:val="000000" w:themeColor="text1"/>
          <w:sz w:val="20"/>
          <w:szCs w:val="20"/>
        </w:rPr>
        <w:t xml:space="preserve"> £40,000</w:t>
      </w:r>
      <w:r>
        <w:rPr>
          <w:rFonts w:ascii="Times New Roman" w:hAnsi="Times New Roman" w:cs="Times New Roman"/>
          <w:bCs/>
          <w:color w:val="000000" w:themeColor="text1"/>
          <w:sz w:val="20"/>
          <w:szCs w:val="20"/>
        </w:rPr>
        <w:t xml:space="preserve"> would be affected</w:t>
      </w:r>
      <w:r w:rsidR="00DA7599" w:rsidRPr="0045200B">
        <w:rPr>
          <w:rFonts w:ascii="Times New Roman" w:hAnsi="Times New Roman" w:cs="Times New Roman"/>
          <w:bCs/>
          <w:color w:val="000000" w:themeColor="text1"/>
          <w:sz w:val="20"/>
          <w:szCs w:val="20"/>
        </w:rPr>
        <w:t>.</w:t>
      </w:r>
    </w:p>
    <w:p w14:paraId="5B3BB2F2" w14:textId="77777777" w:rsidR="00DA7599" w:rsidRPr="00681709" w:rsidRDefault="00DA7599" w:rsidP="00DA7599">
      <w:pPr>
        <w:pStyle w:val="NoSpacing"/>
        <w:jc w:val="both"/>
        <w:rPr>
          <w:rFonts w:ascii="Times New Roman" w:hAnsi="Times New Roman" w:cs="Times New Roman"/>
          <w:bCs/>
          <w:sz w:val="20"/>
        </w:rPr>
      </w:pPr>
    </w:p>
    <w:p w14:paraId="1C4CDE02" w14:textId="5543E871" w:rsidR="00DA7599" w:rsidRPr="00AD739E" w:rsidRDefault="00A31695" w:rsidP="00DA7599">
      <w:pPr>
        <w:pStyle w:val="NoSpacing"/>
        <w:shd w:val="clear" w:color="auto" w:fill="D9D9D9" w:themeFill="background1" w:themeFillShade="D9"/>
        <w:jc w:val="both"/>
        <w:rPr>
          <w:rFonts w:ascii="Times New Roman" w:hAnsi="Times New Roman" w:cs="Times New Roman"/>
          <w:b/>
          <w:bCs/>
          <w:sz w:val="20"/>
          <w:szCs w:val="20"/>
        </w:rPr>
      </w:pPr>
      <w:r>
        <w:rPr>
          <w:rFonts w:ascii="Times New Roman" w:hAnsi="Times New Roman" w:cs="Times New Roman"/>
          <w:b/>
          <w:bCs/>
          <w:sz w:val="20"/>
          <w:szCs w:val="20"/>
        </w:rPr>
        <w:t>4</w:t>
      </w:r>
      <w:r w:rsidR="00DA7599" w:rsidRPr="00AD739E">
        <w:rPr>
          <w:rFonts w:ascii="Times New Roman" w:hAnsi="Times New Roman" w:cs="Times New Roman"/>
          <w:b/>
          <w:bCs/>
          <w:sz w:val="20"/>
          <w:szCs w:val="20"/>
        </w:rPr>
        <w:t>.</w:t>
      </w:r>
      <w:r w:rsidR="00DA7599">
        <w:rPr>
          <w:rFonts w:ascii="Times New Roman" w:hAnsi="Times New Roman" w:cs="Times New Roman"/>
          <w:b/>
          <w:bCs/>
          <w:sz w:val="20"/>
          <w:szCs w:val="20"/>
        </w:rPr>
        <w:t>2</w:t>
      </w:r>
      <w:r w:rsidR="00DA7599" w:rsidRPr="00AD739E">
        <w:rPr>
          <w:rFonts w:ascii="Times New Roman" w:hAnsi="Times New Roman" w:cs="Times New Roman"/>
          <w:b/>
          <w:bCs/>
          <w:sz w:val="20"/>
          <w:szCs w:val="20"/>
        </w:rPr>
        <w:t xml:space="preserve"> </w:t>
      </w:r>
      <w:r w:rsidR="00DA7599">
        <w:rPr>
          <w:rFonts w:ascii="Times New Roman" w:hAnsi="Times New Roman" w:cs="Times New Roman"/>
          <w:b/>
          <w:bCs/>
          <w:sz w:val="20"/>
          <w:szCs w:val="20"/>
        </w:rPr>
        <w:t>Impact</w:t>
      </w:r>
    </w:p>
    <w:p w14:paraId="2EE3A462" w14:textId="77777777" w:rsidR="00A31695" w:rsidRDefault="00A31695" w:rsidP="00DA7599">
      <w:pPr>
        <w:pStyle w:val="NoSpacing"/>
        <w:jc w:val="both"/>
        <w:rPr>
          <w:rFonts w:ascii="Times New Roman" w:hAnsi="Times New Roman" w:cs="Times New Roman"/>
          <w:bCs/>
          <w:sz w:val="20"/>
        </w:rPr>
      </w:pPr>
    </w:p>
    <w:p w14:paraId="2893FD64" w14:textId="0F2941E1" w:rsidR="00A31695" w:rsidRDefault="00A31695" w:rsidP="0083002F">
      <w:pPr>
        <w:pStyle w:val="NoSpacing"/>
        <w:numPr>
          <w:ilvl w:val="0"/>
          <w:numId w:val="11"/>
        </w:numPr>
        <w:ind w:left="360"/>
        <w:jc w:val="both"/>
        <w:rPr>
          <w:rFonts w:ascii="Times New Roman" w:hAnsi="Times New Roman" w:cs="Times New Roman"/>
          <w:bCs/>
          <w:sz w:val="20"/>
        </w:rPr>
      </w:pPr>
      <w:r w:rsidRPr="00A31695">
        <w:rPr>
          <w:rFonts w:ascii="Times New Roman" w:hAnsi="Times New Roman" w:cs="Times New Roman"/>
          <w:bCs/>
          <w:sz w:val="20"/>
        </w:rPr>
        <w:t xml:space="preserve">Reduced tax savings: </w:t>
      </w:r>
      <w:r w:rsidR="001A13D3">
        <w:rPr>
          <w:rFonts w:ascii="Times New Roman" w:hAnsi="Times New Roman" w:cs="Times New Roman"/>
          <w:bCs/>
          <w:sz w:val="20"/>
        </w:rPr>
        <w:t>e</w:t>
      </w:r>
      <w:r w:rsidRPr="00A31695">
        <w:rPr>
          <w:rFonts w:ascii="Times New Roman" w:hAnsi="Times New Roman" w:cs="Times New Roman"/>
          <w:bCs/>
          <w:sz w:val="20"/>
        </w:rPr>
        <w:t>mployees currently save up to 8% in NICs, while employers save 15%. The cap will erode these benefits for amounts over £2,000.</w:t>
      </w:r>
    </w:p>
    <w:p w14:paraId="506CBC3F" w14:textId="77777777" w:rsidR="00A31695" w:rsidRDefault="00A31695" w:rsidP="0083002F">
      <w:pPr>
        <w:pStyle w:val="NoSpacing"/>
        <w:numPr>
          <w:ilvl w:val="0"/>
          <w:numId w:val="11"/>
        </w:numPr>
        <w:ind w:left="360"/>
        <w:jc w:val="both"/>
        <w:rPr>
          <w:rFonts w:ascii="Times New Roman" w:hAnsi="Times New Roman" w:cs="Times New Roman"/>
          <w:bCs/>
          <w:sz w:val="20"/>
        </w:rPr>
      </w:pPr>
      <w:r w:rsidRPr="00A31695">
        <w:rPr>
          <w:rFonts w:ascii="Times New Roman" w:hAnsi="Times New Roman" w:cs="Times New Roman"/>
          <w:bCs/>
          <w:sz w:val="20"/>
        </w:rPr>
        <w:t>Lower take-home pay: NI deductions on sacrificed income above £2,000 will shrink net pay.</w:t>
      </w:r>
    </w:p>
    <w:p w14:paraId="767E8B55" w14:textId="56D19715" w:rsidR="00A31695" w:rsidRDefault="00A31695" w:rsidP="0083002F">
      <w:pPr>
        <w:pStyle w:val="NoSpacing"/>
        <w:numPr>
          <w:ilvl w:val="0"/>
          <w:numId w:val="11"/>
        </w:numPr>
        <w:ind w:left="360"/>
        <w:jc w:val="both"/>
        <w:rPr>
          <w:rFonts w:ascii="Times New Roman" w:hAnsi="Times New Roman" w:cs="Times New Roman"/>
          <w:bCs/>
          <w:sz w:val="20"/>
        </w:rPr>
      </w:pPr>
      <w:r w:rsidRPr="00A31695">
        <w:rPr>
          <w:rFonts w:ascii="Times New Roman" w:hAnsi="Times New Roman" w:cs="Times New Roman"/>
          <w:bCs/>
          <w:sz w:val="20"/>
        </w:rPr>
        <w:t xml:space="preserve">Employer incentives may decline: </w:t>
      </w:r>
      <w:r w:rsidR="001A13D3">
        <w:rPr>
          <w:rFonts w:ascii="Times New Roman" w:hAnsi="Times New Roman" w:cs="Times New Roman"/>
          <w:bCs/>
          <w:sz w:val="20"/>
        </w:rPr>
        <w:t>h</w:t>
      </w:r>
      <w:r w:rsidRPr="00A31695">
        <w:rPr>
          <w:rFonts w:ascii="Times New Roman" w:hAnsi="Times New Roman" w:cs="Times New Roman"/>
          <w:bCs/>
          <w:sz w:val="20"/>
        </w:rPr>
        <w:t xml:space="preserve">igher </w:t>
      </w:r>
      <w:r w:rsidR="001A13D3">
        <w:rPr>
          <w:rFonts w:ascii="Times New Roman" w:hAnsi="Times New Roman" w:cs="Times New Roman"/>
          <w:bCs/>
          <w:sz w:val="20"/>
        </w:rPr>
        <w:t>NI</w:t>
      </w:r>
      <w:r w:rsidRPr="00A31695">
        <w:rPr>
          <w:rFonts w:ascii="Times New Roman" w:hAnsi="Times New Roman" w:cs="Times New Roman"/>
          <w:bCs/>
          <w:sz w:val="20"/>
        </w:rPr>
        <w:t xml:space="preserve"> costs for employers could reduce their willingness to pass savings back to employees.</w:t>
      </w:r>
    </w:p>
    <w:p w14:paraId="45D73A26" w14:textId="0FA65AEC" w:rsidR="00A31695" w:rsidRDefault="00A31695" w:rsidP="0083002F">
      <w:pPr>
        <w:pStyle w:val="NoSpacing"/>
        <w:numPr>
          <w:ilvl w:val="0"/>
          <w:numId w:val="11"/>
        </w:numPr>
        <w:ind w:left="360"/>
        <w:jc w:val="both"/>
        <w:rPr>
          <w:rFonts w:ascii="Times New Roman" w:hAnsi="Times New Roman" w:cs="Times New Roman"/>
          <w:bCs/>
          <w:sz w:val="20"/>
        </w:rPr>
      </w:pPr>
      <w:r w:rsidRPr="00A31695">
        <w:rPr>
          <w:rFonts w:ascii="Times New Roman" w:hAnsi="Times New Roman" w:cs="Times New Roman"/>
          <w:bCs/>
          <w:sz w:val="20"/>
        </w:rPr>
        <w:t xml:space="preserve">Threshold planning disrupted: </w:t>
      </w:r>
      <w:r w:rsidR="001A13D3">
        <w:rPr>
          <w:rFonts w:ascii="Times New Roman" w:hAnsi="Times New Roman" w:cs="Times New Roman"/>
          <w:bCs/>
          <w:sz w:val="20"/>
        </w:rPr>
        <w:t>hi</w:t>
      </w:r>
      <w:r w:rsidRPr="00A31695">
        <w:rPr>
          <w:rFonts w:ascii="Times New Roman" w:hAnsi="Times New Roman" w:cs="Times New Roman"/>
          <w:bCs/>
          <w:sz w:val="20"/>
        </w:rPr>
        <w:t>gher earners (</w:t>
      </w:r>
      <w:r w:rsidR="001A13D3">
        <w:rPr>
          <w:rFonts w:ascii="Times New Roman" w:hAnsi="Times New Roman" w:cs="Times New Roman"/>
          <w:bCs/>
          <w:sz w:val="20"/>
        </w:rPr>
        <w:t>typically</w:t>
      </w:r>
      <w:r w:rsidRPr="00A31695">
        <w:rPr>
          <w:rFonts w:ascii="Times New Roman" w:hAnsi="Times New Roman" w:cs="Times New Roman"/>
          <w:bCs/>
          <w:sz w:val="20"/>
        </w:rPr>
        <w:t xml:space="preserve"> those </w:t>
      </w:r>
      <w:r w:rsidR="001A13D3">
        <w:rPr>
          <w:rFonts w:ascii="Times New Roman" w:hAnsi="Times New Roman" w:cs="Times New Roman"/>
          <w:bCs/>
          <w:sz w:val="20"/>
        </w:rPr>
        <w:t>around the</w:t>
      </w:r>
      <w:r w:rsidRPr="00A31695">
        <w:rPr>
          <w:rFonts w:ascii="Times New Roman" w:hAnsi="Times New Roman" w:cs="Times New Roman"/>
          <w:bCs/>
          <w:sz w:val="20"/>
        </w:rPr>
        <w:t xml:space="preserve"> £100,000 </w:t>
      </w:r>
      <w:r w:rsidR="001A13D3">
        <w:rPr>
          <w:rFonts w:ascii="Times New Roman" w:hAnsi="Times New Roman" w:cs="Times New Roman"/>
          <w:bCs/>
          <w:sz w:val="20"/>
        </w:rPr>
        <w:t>per annum level</w:t>
      </w:r>
      <w:r w:rsidRPr="00A31695">
        <w:rPr>
          <w:rFonts w:ascii="Times New Roman" w:hAnsi="Times New Roman" w:cs="Times New Roman"/>
          <w:bCs/>
          <w:sz w:val="20"/>
        </w:rPr>
        <w:t>) may struggle to use salary sacrifice to reduce taxable income below key thresholds.</w:t>
      </w:r>
    </w:p>
    <w:p w14:paraId="58F2BF10" w14:textId="77777777" w:rsidR="00A31695" w:rsidRDefault="00A31695" w:rsidP="00DA7599">
      <w:pPr>
        <w:pStyle w:val="NoSpacing"/>
        <w:jc w:val="both"/>
        <w:rPr>
          <w:rFonts w:ascii="Times New Roman" w:hAnsi="Times New Roman" w:cs="Times New Roman"/>
          <w:bCs/>
          <w:sz w:val="20"/>
        </w:rPr>
      </w:pPr>
    </w:p>
    <w:p w14:paraId="409BE6EE" w14:textId="21B3777D" w:rsidR="00DA7599" w:rsidRPr="00AD739E" w:rsidRDefault="00A31695" w:rsidP="00DA7599">
      <w:pPr>
        <w:pStyle w:val="NoSpacing"/>
        <w:shd w:val="clear" w:color="auto" w:fill="D9D9D9" w:themeFill="background1" w:themeFillShade="D9"/>
        <w:jc w:val="both"/>
        <w:rPr>
          <w:rFonts w:ascii="Times New Roman" w:hAnsi="Times New Roman" w:cs="Times New Roman"/>
          <w:b/>
          <w:bCs/>
          <w:sz w:val="20"/>
          <w:szCs w:val="20"/>
        </w:rPr>
      </w:pPr>
      <w:r>
        <w:rPr>
          <w:rFonts w:ascii="Times New Roman" w:hAnsi="Times New Roman" w:cs="Times New Roman"/>
          <w:b/>
          <w:bCs/>
          <w:sz w:val="20"/>
          <w:szCs w:val="20"/>
        </w:rPr>
        <w:t>4</w:t>
      </w:r>
      <w:r w:rsidR="00DA7599" w:rsidRPr="00AD739E">
        <w:rPr>
          <w:rFonts w:ascii="Times New Roman" w:hAnsi="Times New Roman" w:cs="Times New Roman"/>
          <w:b/>
          <w:bCs/>
          <w:sz w:val="20"/>
          <w:szCs w:val="20"/>
        </w:rPr>
        <w:t>.</w:t>
      </w:r>
      <w:r w:rsidR="00DA7599">
        <w:rPr>
          <w:rFonts w:ascii="Times New Roman" w:hAnsi="Times New Roman" w:cs="Times New Roman"/>
          <w:b/>
          <w:bCs/>
          <w:sz w:val="20"/>
          <w:szCs w:val="20"/>
        </w:rPr>
        <w:t>3</w:t>
      </w:r>
      <w:r w:rsidR="00DA7599" w:rsidRPr="00AD739E">
        <w:rPr>
          <w:rFonts w:ascii="Times New Roman" w:hAnsi="Times New Roman" w:cs="Times New Roman"/>
          <w:b/>
          <w:bCs/>
          <w:sz w:val="20"/>
          <w:szCs w:val="20"/>
        </w:rPr>
        <w:t xml:space="preserve"> </w:t>
      </w:r>
      <w:r w:rsidR="00DA7599">
        <w:rPr>
          <w:rFonts w:ascii="Times New Roman" w:hAnsi="Times New Roman" w:cs="Times New Roman"/>
          <w:b/>
          <w:bCs/>
          <w:sz w:val="20"/>
          <w:szCs w:val="20"/>
        </w:rPr>
        <w:t xml:space="preserve">Sandle Nash </w:t>
      </w:r>
      <w:r w:rsidR="001A13D3">
        <w:rPr>
          <w:rFonts w:ascii="Times New Roman" w:hAnsi="Times New Roman" w:cs="Times New Roman"/>
          <w:b/>
          <w:bCs/>
          <w:sz w:val="20"/>
          <w:szCs w:val="20"/>
        </w:rPr>
        <w:t>Limited C</w:t>
      </w:r>
      <w:r w:rsidR="00DA7599">
        <w:rPr>
          <w:rFonts w:ascii="Times New Roman" w:hAnsi="Times New Roman" w:cs="Times New Roman"/>
          <w:b/>
          <w:bCs/>
          <w:sz w:val="20"/>
          <w:szCs w:val="20"/>
        </w:rPr>
        <w:t>omments</w:t>
      </w:r>
      <w:r>
        <w:rPr>
          <w:rFonts w:ascii="Times New Roman" w:hAnsi="Times New Roman" w:cs="Times New Roman"/>
          <w:b/>
          <w:bCs/>
          <w:sz w:val="20"/>
          <w:szCs w:val="20"/>
        </w:rPr>
        <w:t xml:space="preserve"> / </w:t>
      </w:r>
      <w:r w:rsidR="001A13D3">
        <w:rPr>
          <w:rFonts w:ascii="Times New Roman" w:hAnsi="Times New Roman" w:cs="Times New Roman"/>
          <w:b/>
          <w:bCs/>
          <w:sz w:val="20"/>
          <w:szCs w:val="20"/>
        </w:rPr>
        <w:t xml:space="preserve">Possible </w:t>
      </w:r>
      <w:r>
        <w:rPr>
          <w:rFonts w:ascii="Times New Roman" w:hAnsi="Times New Roman" w:cs="Times New Roman"/>
          <w:b/>
          <w:bCs/>
          <w:sz w:val="20"/>
          <w:szCs w:val="20"/>
        </w:rPr>
        <w:t xml:space="preserve">Planning </w:t>
      </w:r>
      <w:r w:rsidR="001A13D3">
        <w:rPr>
          <w:rFonts w:ascii="Times New Roman" w:hAnsi="Times New Roman" w:cs="Times New Roman"/>
          <w:b/>
          <w:bCs/>
          <w:sz w:val="20"/>
          <w:szCs w:val="20"/>
        </w:rPr>
        <w:t>O</w:t>
      </w:r>
      <w:r>
        <w:rPr>
          <w:rFonts w:ascii="Times New Roman" w:hAnsi="Times New Roman" w:cs="Times New Roman"/>
          <w:b/>
          <w:bCs/>
          <w:sz w:val="20"/>
          <w:szCs w:val="20"/>
        </w:rPr>
        <w:t>pportunities</w:t>
      </w:r>
    </w:p>
    <w:p w14:paraId="37F71DC4" w14:textId="77777777" w:rsidR="00DA7599" w:rsidRDefault="00DA7599" w:rsidP="00DA7599">
      <w:pPr>
        <w:pStyle w:val="NoSpacing"/>
        <w:jc w:val="both"/>
        <w:rPr>
          <w:rFonts w:ascii="Times New Roman" w:hAnsi="Times New Roman" w:cs="Times New Roman"/>
          <w:sz w:val="20"/>
          <w:szCs w:val="20"/>
        </w:rPr>
      </w:pPr>
    </w:p>
    <w:p w14:paraId="7C01F899" w14:textId="66FA7DF4" w:rsidR="002E0E91" w:rsidRPr="00784607" w:rsidRDefault="002E0E91" w:rsidP="002E0E91">
      <w:pPr>
        <w:pStyle w:val="NoSpacing"/>
        <w:jc w:val="both"/>
        <w:rPr>
          <w:rFonts w:ascii="Times New Roman" w:hAnsi="Times New Roman" w:cs="Times New Roman"/>
          <w:bCs/>
          <w:color w:val="000000" w:themeColor="text1"/>
          <w:sz w:val="20"/>
          <w:szCs w:val="20"/>
        </w:rPr>
      </w:pPr>
      <w:r w:rsidRPr="00784607">
        <w:rPr>
          <w:rFonts w:ascii="Times New Roman" w:hAnsi="Times New Roman" w:cs="Times New Roman"/>
          <w:bCs/>
          <w:color w:val="000000" w:themeColor="text1"/>
          <w:sz w:val="20"/>
          <w:szCs w:val="20"/>
        </w:rPr>
        <w:t>Employers have been given a relatively long lead-in time of over three years to work out how to reposition their employees’ pension savings.</w:t>
      </w:r>
    </w:p>
    <w:p w14:paraId="3858A281" w14:textId="77777777" w:rsidR="002E0E91" w:rsidRPr="00784607" w:rsidRDefault="002E0E91" w:rsidP="002E0E91">
      <w:pPr>
        <w:pStyle w:val="NoSpacing"/>
        <w:jc w:val="both"/>
        <w:rPr>
          <w:rFonts w:ascii="Times New Roman" w:hAnsi="Times New Roman" w:cs="Times New Roman"/>
          <w:bCs/>
          <w:color w:val="000000" w:themeColor="text1"/>
          <w:sz w:val="20"/>
          <w:szCs w:val="20"/>
        </w:rPr>
      </w:pPr>
    </w:p>
    <w:p w14:paraId="3B5F01BC" w14:textId="57EDFF13" w:rsidR="002E0E91" w:rsidRPr="00784607" w:rsidRDefault="00784607" w:rsidP="002E0E91">
      <w:pPr>
        <w:pStyle w:val="NoSpacing"/>
        <w:jc w:val="both"/>
        <w:rPr>
          <w:rFonts w:ascii="Times New Roman" w:hAnsi="Times New Roman" w:cs="Times New Roman"/>
          <w:bCs/>
          <w:color w:val="000000" w:themeColor="text1"/>
          <w:sz w:val="20"/>
          <w:szCs w:val="20"/>
        </w:rPr>
      </w:pPr>
      <w:r w:rsidRPr="00784607">
        <w:rPr>
          <w:rFonts w:ascii="Times New Roman" w:hAnsi="Times New Roman" w:cs="Times New Roman"/>
          <w:bCs/>
          <w:color w:val="000000" w:themeColor="text1"/>
          <w:sz w:val="20"/>
          <w:szCs w:val="20"/>
        </w:rPr>
        <w:t>For employees, d</w:t>
      </w:r>
      <w:r w:rsidR="002E0E91" w:rsidRPr="00784607">
        <w:rPr>
          <w:rFonts w:ascii="Times New Roman" w:hAnsi="Times New Roman" w:cs="Times New Roman"/>
          <w:bCs/>
          <w:color w:val="000000" w:themeColor="text1"/>
          <w:sz w:val="20"/>
          <w:szCs w:val="20"/>
        </w:rPr>
        <w:t xml:space="preserve">espite the new salary sacrifice savings limit, personal pension contributions will still be exempt from Income Tax and workers can continue to enjoy pension tax relief at the current levels. In addition, making pension contributions will still reduce a taxpayer’s adjusted net income, possibly pulling them out of </w:t>
      </w:r>
      <w:r w:rsidR="002174A3">
        <w:rPr>
          <w:rFonts w:ascii="Times New Roman" w:hAnsi="Times New Roman" w:cs="Times New Roman"/>
          <w:bCs/>
          <w:color w:val="000000" w:themeColor="text1"/>
          <w:sz w:val="20"/>
          <w:szCs w:val="20"/>
        </w:rPr>
        <w:t>h</w:t>
      </w:r>
      <w:r w:rsidR="002E0E91" w:rsidRPr="00784607">
        <w:rPr>
          <w:rFonts w:ascii="Times New Roman" w:hAnsi="Times New Roman" w:cs="Times New Roman"/>
          <w:bCs/>
          <w:color w:val="000000" w:themeColor="text1"/>
          <w:sz w:val="20"/>
          <w:szCs w:val="20"/>
        </w:rPr>
        <w:t xml:space="preserve">igher </w:t>
      </w:r>
      <w:r w:rsidR="002174A3">
        <w:rPr>
          <w:rFonts w:ascii="Times New Roman" w:hAnsi="Times New Roman" w:cs="Times New Roman"/>
          <w:bCs/>
          <w:color w:val="000000" w:themeColor="text1"/>
          <w:sz w:val="20"/>
          <w:szCs w:val="20"/>
        </w:rPr>
        <w:t>r</w:t>
      </w:r>
      <w:r w:rsidR="002E0E91" w:rsidRPr="00784607">
        <w:rPr>
          <w:rFonts w:ascii="Times New Roman" w:hAnsi="Times New Roman" w:cs="Times New Roman"/>
          <w:bCs/>
          <w:color w:val="000000" w:themeColor="text1"/>
          <w:sz w:val="20"/>
          <w:szCs w:val="20"/>
        </w:rPr>
        <w:t>ate (which in turn may mean that they can continue to receive Child Benefit or tax-free childcare).</w:t>
      </w:r>
    </w:p>
    <w:p w14:paraId="7EADC4F5" w14:textId="77777777" w:rsidR="00A31695" w:rsidRDefault="00A31695" w:rsidP="00A31695">
      <w:pPr>
        <w:pStyle w:val="NoSpacing"/>
        <w:jc w:val="both"/>
        <w:rPr>
          <w:rFonts w:ascii="Times New Roman" w:hAnsi="Times New Roman" w:cs="Times New Roman"/>
          <w:sz w:val="20"/>
          <w:szCs w:val="20"/>
        </w:rPr>
      </w:pPr>
    </w:p>
    <w:p w14:paraId="436F6757" w14:textId="77777777" w:rsidR="00A31695" w:rsidRPr="00C63740" w:rsidRDefault="00A31695" w:rsidP="00A31695">
      <w:pPr>
        <w:pStyle w:val="NoSpacing"/>
        <w:shd w:val="clear" w:color="auto" w:fill="DBE5F1" w:themeFill="accent1" w:themeFillTint="33"/>
        <w:jc w:val="both"/>
        <w:rPr>
          <w:rFonts w:ascii="Times New Roman" w:hAnsi="Times New Roman" w:cs="Times New Roman"/>
          <w:b/>
          <w:bCs/>
          <w:sz w:val="20"/>
          <w:szCs w:val="20"/>
        </w:rPr>
      </w:pPr>
      <w:r w:rsidRPr="00CD4432">
        <w:rPr>
          <w:rFonts w:ascii="Times New Roman" w:hAnsi="Times New Roman" w:cs="Times New Roman"/>
          <w:b/>
          <w:bCs/>
          <w:sz w:val="20"/>
          <w:szCs w:val="20"/>
        </w:rPr>
        <w:t xml:space="preserve">To counter the impact </w:t>
      </w:r>
      <w:r>
        <w:rPr>
          <w:rFonts w:ascii="Times New Roman" w:hAnsi="Times New Roman" w:cs="Times New Roman"/>
          <w:b/>
          <w:bCs/>
          <w:sz w:val="20"/>
          <w:szCs w:val="20"/>
        </w:rPr>
        <w:t>of the tax increases, the following actions could be considered</w:t>
      </w:r>
      <w:r w:rsidRPr="00CD4432">
        <w:rPr>
          <w:rFonts w:ascii="Times New Roman" w:hAnsi="Times New Roman" w:cs="Times New Roman"/>
          <w:b/>
          <w:bCs/>
          <w:sz w:val="20"/>
          <w:szCs w:val="20"/>
        </w:rPr>
        <w:t>:</w:t>
      </w:r>
    </w:p>
    <w:p w14:paraId="678E3A2E" w14:textId="4651D5B6" w:rsidR="00A31695" w:rsidRDefault="00A31695" w:rsidP="0083002F">
      <w:pPr>
        <w:pStyle w:val="NoSpacing"/>
        <w:numPr>
          <w:ilvl w:val="0"/>
          <w:numId w:val="1"/>
        </w:numPr>
        <w:shd w:val="clear" w:color="auto" w:fill="DBE5F1" w:themeFill="accent1" w:themeFillTint="33"/>
        <w:jc w:val="both"/>
        <w:rPr>
          <w:rFonts w:ascii="Times New Roman" w:hAnsi="Times New Roman" w:cs="Times New Roman"/>
          <w:bCs/>
          <w:sz w:val="20"/>
        </w:rPr>
      </w:pPr>
      <w:r w:rsidRPr="00A31695">
        <w:rPr>
          <w:rFonts w:ascii="Times New Roman" w:hAnsi="Times New Roman" w:cs="Times New Roman"/>
          <w:bCs/>
          <w:sz w:val="20"/>
        </w:rPr>
        <w:t xml:space="preserve">Optimise tax bands: </w:t>
      </w:r>
      <w:r w:rsidR="002174A3">
        <w:rPr>
          <w:rFonts w:ascii="Times New Roman" w:hAnsi="Times New Roman" w:cs="Times New Roman"/>
          <w:bCs/>
          <w:sz w:val="20"/>
        </w:rPr>
        <w:t>a</w:t>
      </w:r>
      <w:r w:rsidRPr="00A31695">
        <w:rPr>
          <w:rFonts w:ascii="Times New Roman" w:hAnsi="Times New Roman" w:cs="Times New Roman"/>
          <w:bCs/>
          <w:sz w:val="20"/>
        </w:rPr>
        <w:t>lign pension contributions with your income tax bracket to maximise relief.</w:t>
      </w:r>
    </w:p>
    <w:p w14:paraId="6FB57B66" w14:textId="774D9AC7" w:rsidR="00A31695" w:rsidRDefault="00A31695" w:rsidP="0083002F">
      <w:pPr>
        <w:pStyle w:val="NoSpacing"/>
        <w:numPr>
          <w:ilvl w:val="0"/>
          <w:numId w:val="1"/>
        </w:numPr>
        <w:shd w:val="clear" w:color="auto" w:fill="DBE5F1" w:themeFill="accent1" w:themeFillTint="33"/>
        <w:jc w:val="both"/>
        <w:rPr>
          <w:rFonts w:ascii="Times New Roman" w:hAnsi="Times New Roman" w:cs="Times New Roman"/>
          <w:bCs/>
          <w:sz w:val="20"/>
        </w:rPr>
      </w:pPr>
      <w:r w:rsidRPr="00A31695">
        <w:rPr>
          <w:rFonts w:ascii="Times New Roman" w:hAnsi="Times New Roman" w:cs="Times New Roman"/>
          <w:bCs/>
          <w:sz w:val="20"/>
        </w:rPr>
        <w:t xml:space="preserve">Spouse/partner strategy: </w:t>
      </w:r>
      <w:r w:rsidR="002174A3">
        <w:rPr>
          <w:rFonts w:ascii="Times New Roman" w:hAnsi="Times New Roman" w:cs="Times New Roman"/>
          <w:bCs/>
          <w:sz w:val="20"/>
        </w:rPr>
        <w:t>b</w:t>
      </w:r>
      <w:r w:rsidRPr="00A31695">
        <w:rPr>
          <w:rFonts w:ascii="Times New Roman" w:hAnsi="Times New Roman" w:cs="Times New Roman"/>
          <w:bCs/>
          <w:sz w:val="20"/>
        </w:rPr>
        <w:t>alance income and assets between partners to leverage joint tax efficiency.</w:t>
      </w:r>
    </w:p>
    <w:p w14:paraId="322190B5" w14:textId="65662BD0" w:rsidR="00A31695" w:rsidRDefault="00A31695" w:rsidP="0083002F">
      <w:pPr>
        <w:pStyle w:val="NoSpacing"/>
        <w:numPr>
          <w:ilvl w:val="0"/>
          <w:numId w:val="1"/>
        </w:numPr>
        <w:shd w:val="clear" w:color="auto" w:fill="DBE5F1" w:themeFill="accent1" w:themeFillTint="33"/>
        <w:jc w:val="both"/>
        <w:rPr>
          <w:rFonts w:ascii="Times New Roman" w:hAnsi="Times New Roman" w:cs="Times New Roman"/>
          <w:bCs/>
          <w:sz w:val="20"/>
        </w:rPr>
      </w:pPr>
      <w:r w:rsidRPr="00A31695">
        <w:rPr>
          <w:rFonts w:ascii="Times New Roman" w:hAnsi="Times New Roman" w:cs="Times New Roman"/>
          <w:bCs/>
          <w:sz w:val="20"/>
        </w:rPr>
        <w:t xml:space="preserve">Diversify investment structures: </w:t>
      </w:r>
      <w:r w:rsidR="002174A3">
        <w:rPr>
          <w:rFonts w:ascii="Times New Roman" w:hAnsi="Times New Roman" w:cs="Times New Roman"/>
          <w:bCs/>
          <w:sz w:val="20"/>
        </w:rPr>
        <w:t>for example, u</w:t>
      </w:r>
      <w:r w:rsidRPr="00A31695">
        <w:rPr>
          <w:rFonts w:ascii="Times New Roman" w:hAnsi="Times New Roman" w:cs="Times New Roman"/>
          <w:bCs/>
          <w:sz w:val="20"/>
        </w:rPr>
        <w:t>se ISAs, general investment accounts and pensions to spread savings and minimise tax exposure.</w:t>
      </w:r>
    </w:p>
    <w:p w14:paraId="6F8C8D60" w14:textId="27D69B27" w:rsidR="00A31695" w:rsidRDefault="00A31695" w:rsidP="0083002F">
      <w:pPr>
        <w:pStyle w:val="NoSpacing"/>
        <w:numPr>
          <w:ilvl w:val="0"/>
          <w:numId w:val="1"/>
        </w:numPr>
        <w:shd w:val="clear" w:color="auto" w:fill="DBE5F1" w:themeFill="accent1" w:themeFillTint="33"/>
        <w:jc w:val="both"/>
        <w:rPr>
          <w:rFonts w:ascii="Times New Roman" w:hAnsi="Times New Roman" w:cs="Times New Roman"/>
          <w:bCs/>
          <w:sz w:val="20"/>
        </w:rPr>
      </w:pPr>
      <w:r w:rsidRPr="00A31695">
        <w:rPr>
          <w:rFonts w:ascii="Times New Roman" w:hAnsi="Times New Roman" w:cs="Times New Roman"/>
          <w:bCs/>
          <w:sz w:val="20"/>
        </w:rPr>
        <w:t xml:space="preserve">Maximise employer benefits: </w:t>
      </w:r>
      <w:r w:rsidR="002174A3">
        <w:rPr>
          <w:rFonts w:ascii="Times New Roman" w:hAnsi="Times New Roman" w:cs="Times New Roman"/>
          <w:bCs/>
          <w:sz w:val="20"/>
        </w:rPr>
        <w:t>e</w:t>
      </w:r>
      <w:r w:rsidRPr="00A31695">
        <w:rPr>
          <w:rFonts w:ascii="Times New Roman" w:hAnsi="Times New Roman" w:cs="Times New Roman"/>
          <w:bCs/>
          <w:sz w:val="20"/>
        </w:rPr>
        <w:t>nsure you contribute enough to qualify for full employer pension matching and confirm if NI savings are passed on.</w:t>
      </w:r>
    </w:p>
    <w:p w14:paraId="00048106" w14:textId="5F98D91D" w:rsidR="00A31695" w:rsidRPr="00A31695" w:rsidRDefault="00A31695" w:rsidP="0083002F">
      <w:pPr>
        <w:pStyle w:val="NoSpacing"/>
        <w:numPr>
          <w:ilvl w:val="0"/>
          <w:numId w:val="1"/>
        </w:numPr>
        <w:shd w:val="clear" w:color="auto" w:fill="DBE5F1" w:themeFill="accent1" w:themeFillTint="33"/>
        <w:jc w:val="both"/>
        <w:rPr>
          <w:rFonts w:ascii="Times New Roman" w:hAnsi="Times New Roman" w:cs="Times New Roman"/>
          <w:bCs/>
          <w:sz w:val="20"/>
        </w:rPr>
      </w:pPr>
      <w:r w:rsidRPr="00A31695">
        <w:rPr>
          <w:rFonts w:ascii="Times New Roman" w:hAnsi="Times New Roman" w:cs="Times New Roman"/>
          <w:bCs/>
          <w:sz w:val="20"/>
        </w:rPr>
        <w:t xml:space="preserve">Review thresholds: </w:t>
      </w:r>
      <w:r w:rsidR="002174A3">
        <w:rPr>
          <w:rFonts w:ascii="Times New Roman" w:hAnsi="Times New Roman" w:cs="Times New Roman"/>
          <w:bCs/>
          <w:sz w:val="20"/>
        </w:rPr>
        <w:t>i</w:t>
      </w:r>
      <w:r w:rsidRPr="00A31695">
        <w:rPr>
          <w:rFonts w:ascii="Times New Roman" w:hAnsi="Times New Roman" w:cs="Times New Roman"/>
          <w:bCs/>
          <w:sz w:val="20"/>
        </w:rPr>
        <w:t>f targeting income limits (</w:t>
      </w:r>
      <w:r w:rsidR="002174A3">
        <w:rPr>
          <w:rFonts w:ascii="Times New Roman" w:hAnsi="Times New Roman" w:cs="Times New Roman"/>
          <w:bCs/>
          <w:sz w:val="20"/>
        </w:rPr>
        <w:t>such as</w:t>
      </w:r>
      <w:r w:rsidRPr="00A31695">
        <w:rPr>
          <w:rFonts w:ascii="Times New Roman" w:hAnsi="Times New Roman" w:cs="Times New Roman"/>
          <w:bCs/>
          <w:sz w:val="20"/>
        </w:rPr>
        <w:t xml:space="preserve"> £100,000), explore alternatives to salary sacrifice for reducing taxable income.</w:t>
      </w:r>
    </w:p>
    <w:p w14:paraId="398EF2DC" w14:textId="77777777" w:rsidR="00DA7599" w:rsidRDefault="00DA7599" w:rsidP="00412014">
      <w:pPr>
        <w:pStyle w:val="NoSpacing"/>
        <w:jc w:val="both"/>
        <w:rPr>
          <w:rFonts w:ascii="Times New Roman" w:hAnsi="Times New Roman" w:cs="Times New Roman"/>
          <w:bCs/>
          <w:sz w:val="20"/>
        </w:rPr>
      </w:pPr>
    </w:p>
    <w:p w14:paraId="584CDE74" w14:textId="77777777" w:rsidR="00087757" w:rsidRDefault="00087757" w:rsidP="00087757">
      <w:pPr>
        <w:pStyle w:val="NoSpacing"/>
        <w:jc w:val="both"/>
        <w:rPr>
          <w:rFonts w:ascii="Times New Roman" w:hAnsi="Times New Roman" w:cs="Times New Roman"/>
          <w:bCs/>
          <w:sz w:val="20"/>
          <w:szCs w:val="20"/>
        </w:rPr>
      </w:pPr>
    </w:p>
    <w:p w14:paraId="1383FF25" w14:textId="2F4FE1FD" w:rsidR="00087757" w:rsidRPr="005E2F2F" w:rsidRDefault="00087757" w:rsidP="00087757">
      <w:pPr>
        <w:pStyle w:val="NoSpacing"/>
        <w:shd w:val="clear" w:color="auto" w:fill="336699"/>
        <w:rPr>
          <w:rFonts w:ascii="Times New Roman" w:hAnsi="Times New Roman" w:cs="Times New Roman"/>
          <w:sz w:val="20"/>
          <w:szCs w:val="20"/>
        </w:rPr>
      </w:pPr>
      <w:r>
        <w:rPr>
          <w:rFonts w:ascii="Times New Roman" w:hAnsi="Times New Roman" w:cs="Times New Roman"/>
          <w:b/>
          <w:color w:val="FFFFFF" w:themeColor="background1"/>
          <w:sz w:val="20"/>
          <w:szCs w:val="20"/>
        </w:rPr>
        <w:t>5</w:t>
      </w:r>
      <w:r w:rsidRPr="009C032A">
        <w:rPr>
          <w:rFonts w:ascii="Times New Roman" w:hAnsi="Times New Roman" w:cs="Times New Roman"/>
          <w:b/>
          <w:color w:val="FFFFFF" w:themeColor="background1"/>
          <w:sz w:val="20"/>
          <w:szCs w:val="20"/>
        </w:rPr>
        <w:t xml:space="preserve">. </w:t>
      </w:r>
      <w:r>
        <w:rPr>
          <w:rFonts w:ascii="Times New Roman" w:hAnsi="Times New Roman" w:cs="Times New Roman"/>
          <w:b/>
          <w:color w:val="FFFFFF" w:themeColor="background1"/>
          <w:sz w:val="20"/>
          <w:szCs w:val="20"/>
        </w:rPr>
        <w:t xml:space="preserve">Mansion </w:t>
      </w:r>
      <w:r w:rsidR="002174A3">
        <w:rPr>
          <w:rFonts w:ascii="Times New Roman" w:hAnsi="Times New Roman" w:cs="Times New Roman"/>
          <w:b/>
          <w:color w:val="FFFFFF" w:themeColor="background1"/>
          <w:sz w:val="20"/>
          <w:szCs w:val="20"/>
        </w:rPr>
        <w:t>T</w:t>
      </w:r>
      <w:r>
        <w:rPr>
          <w:rFonts w:ascii="Times New Roman" w:hAnsi="Times New Roman" w:cs="Times New Roman"/>
          <w:b/>
          <w:color w:val="FFFFFF" w:themeColor="background1"/>
          <w:sz w:val="20"/>
          <w:szCs w:val="20"/>
        </w:rPr>
        <w:t>ax</w:t>
      </w:r>
    </w:p>
    <w:p w14:paraId="49DFFAB8" w14:textId="77777777" w:rsidR="00087757" w:rsidRDefault="00087757" w:rsidP="00087757">
      <w:pPr>
        <w:pStyle w:val="NoSpacing"/>
        <w:shd w:val="clear" w:color="auto" w:fill="FFFFFF" w:themeFill="background1"/>
        <w:jc w:val="both"/>
        <w:rPr>
          <w:rFonts w:ascii="Times New Roman" w:hAnsi="Times New Roman" w:cs="Times New Roman"/>
          <w:b/>
          <w:bCs/>
          <w:sz w:val="20"/>
          <w:szCs w:val="20"/>
        </w:rPr>
      </w:pPr>
    </w:p>
    <w:p w14:paraId="0C586843" w14:textId="77777777" w:rsidR="0098198D" w:rsidRDefault="0098198D" w:rsidP="00087757">
      <w:pPr>
        <w:pStyle w:val="NoSpacing"/>
        <w:shd w:val="clear" w:color="auto" w:fill="FFFFFF" w:themeFill="background1"/>
        <w:jc w:val="both"/>
        <w:rPr>
          <w:rFonts w:ascii="Times New Roman" w:hAnsi="Times New Roman" w:cs="Times New Roman"/>
          <w:b/>
          <w:bCs/>
          <w:sz w:val="20"/>
          <w:szCs w:val="20"/>
        </w:rPr>
      </w:pPr>
    </w:p>
    <w:p w14:paraId="30A23B3D" w14:textId="77777777" w:rsidR="00087757" w:rsidRPr="00AD739E" w:rsidRDefault="00087757" w:rsidP="00087757">
      <w:pPr>
        <w:pStyle w:val="NoSpacing"/>
        <w:shd w:val="clear" w:color="auto" w:fill="D9D9D9" w:themeFill="background1" w:themeFillShade="D9"/>
        <w:jc w:val="both"/>
        <w:rPr>
          <w:rFonts w:ascii="Times New Roman" w:hAnsi="Times New Roman" w:cs="Times New Roman"/>
          <w:b/>
          <w:bCs/>
          <w:sz w:val="20"/>
          <w:szCs w:val="20"/>
        </w:rPr>
      </w:pPr>
      <w:r>
        <w:rPr>
          <w:rFonts w:ascii="Times New Roman" w:hAnsi="Times New Roman" w:cs="Times New Roman"/>
          <w:b/>
          <w:bCs/>
          <w:sz w:val="20"/>
          <w:szCs w:val="20"/>
        </w:rPr>
        <w:t>5</w:t>
      </w:r>
      <w:r w:rsidRPr="00AD739E">
        <w:rPr>
          <w:rFonts w:ascii="Times New Roman" w:hAnsi="Times New Roman" w:cs="Times New Roman"/>
          <w:b/>
          <w:bCs/>
          <w:sz w:val="20"/>
          <w:szCs w:val="20"/>
        </w:rPr>
        <w:t xml:space="preserve">.1 Announcement </w:t>
      </w:r>
    </w:p>
    <w:p w14:paraId="5AC75732" w14:textId="77777777" w:rsidR="00087757" w:rsidRDefault="00087757" w:rsidP="00087757">
      <w:pPr>
        <w:pStyle w:val="NoSpacing"/>
        <w:jc w:val="both"/>
        <w:rPr>
          <w:rFonts w:ascii="Times New Roman" w:hAnsi="Times New Roman" w:cs="Times New Roman"/>
          <w:bCs/>
          <w:sz w:val="20"/>
        </w:rPr>
      </w:pPr>
    </w:p>
    <w:p w14:paraId="2C68F04F" w14:textId="77777777" w:rsidR="00087757" w:rsidRDefault="00087757" w:rsidP="0083002F">
      <w:pPr>
        <w:pStyle w:val="NoSpacing"/>
        <w:numPr>
          <w:ilvl w:val="0"/>
          <w:numId w:val="13"/>
        </w:numPr>
        <w:ind w:left="360"/>
        <w:jc w:val="both"/>
        <w:rPr>
          <w:rFonts w:ascii="Times New Roman" w:hAnsi="Times New Roman" w:cs="Times New Roman"/>
          <w:bCs/>
          <w:sz w:val="20"/>
        </w:rPr>
      </w:pPr>
      <w:r w:rsidRPr="00784607">
        <w:rPr>
          <w:rFonts w:ascii="Times New Roman" w:hAnsi="Times New Roman" w:cs="Times New Roman"/>
          <w:bCs/>
          <w:sz w:val="20"/>
        </w:rPr>
        <w:t>From April 2028, an annual high value council tax surcharge (HVCTS) will be levied on properties worth £2 million or more in England.</w:t>
      </w:r>
    </w:p>
    <w:p w14:paraId="007B3199" w14:textId="77777777" w:rsidR="00087757" w:rsidRDefault="00087757" w:rsidP="0083002F">
      <w:pPr>
        <w:pStyle w:val="NoSpacing"/>
        <w:numPr>
          <w:ilvl w:val="0"/>
          <w:numId w:val="13"/>
        </w:numPr>
        <w:ind w:left="360"/>
        <w:jc w:val="both"/>
        <w:rPr>
          <w:rFonts w:ascii="Times New Roman" w:hAnsi="Times New Roman" w:cs="Times New Roman"/>
          <w:bCs/>
          <w:sz w:val="20"/>
        </w:rPr>
      </w:pPr>
      <w:r w:rsidRPr="00784607">
        <w:rPr>
          <w:rFonts w:ascii="Times New Roman" w:hAnsi="Times New Roman" w:cs="Times New Roman"/>
          <w:bCs/>
          <w:sz w:val="20"/>
        </w:rPr>
        <w:t>The government will consult on the implementation of this additional charge in 2026, after which we expect further details to be made available.</w:t>
      </w:r>
    </w:p>
    <w:p w14:paraId="112A7B53" w14:textId="77777777" w:rsidR="00087757" w:rsidRDefault="00087757" w:rsidP="00087757">
      <w:pPr>
        <w:pStyle w:val="NoSpacing"/>
        <w:jc w:val="both"/>
        <w:rPr>
          <w:rFonts w:ascii="Times New Roman" w:hAnsi="Times New Roman" w:cs="Times New Roman"/>
          <w:bCs/>
          <w:sz w:val="20"/>
        </w:rPr>
      </w:pPr>
    </w:p>
    <w:tbl>
      <w:tblPr>
        <w:tblStyle w:val="TableGrid"/>
        <w:tblW w:w="0" w:type="auto"/>
        <w:jc w:val="center"/>
        <w:tblLook w:val="04A0" w:firstRow="1" w:lastRow="0" w:firstColumn="1" w:lastColumn="0" w:noHBand="0" w:noVBand="1"/>
      </w:tblPr>
      <w:tblGrid>
        <w:gridCol w:w="2689"/>
        <w:gridCol w:w="2835"/>
      </w:tblGrid>
      <w:tr w:rsidR="00087757" w14:paraId="05D6C9EF" w14:textId="77777777" w:rsidTr="002174A3">
        <w:trPr>
          <w:jc w:val="center"/>
        </w:trPr>
        <w:tc>
          <w:tcPr>
            <w:tcW w:w="2689" w:type="dxa"/>
          </w:tcPr>
          <w:p w14:paraId="25C9D03C" w14:textId="77777777" w:rsidR="00087757" w:rsidRPr="00784607" w:rsidRDefault="00087757" w:rsidP="00EB5130">
            <w:pPr>
              <w:pStyle w:val="NoSpacing"/>
              <w:jc w:val="center"/>
              <w:rPr>
                <w:rFonts w:ascii="Times New Roman" w:hAnsi="Times New Roman" w:cs="Times New Roman"/>
                <w:b/>
                <w:bCs/>
                <w:sz w:val="20"/>
                <w:szCs w:val="20"/>
              </w:rPr>
            </w:pPr>
            <w:r w:rsidRPr="00784607">
              <w:rPr>
                <w:rFonts w:ascii="Times New Roman" w:hAnsi="Times New Roman" w:cs="Times New Roman"/>
                <w:b/>
                <w:bCs/>
                <w:sz w:val="20"/>
                <w:szCs w:val="20"/>
              </w:rPr>
              <w:t>Threshold</w:t>
            </w:r>
          </w:p>
        </w:tc>
        <w:tc>
          <w:tcPr>
            <w:tcW w:w="2835" w:type="dxa"/>
          </w:tcPr>
          <w:p w14:paraId="4A464BCD" w14:textId="17A7022B" w:rsidR="00087757" w:rsidRPr="00784607" w:rsidRDefault="00087757" w:rsidP="00EB5130">
            <w:pPr>
              <w:pStyle w:val="NoSpacing"/>
              <w:jc w:val="center"/>
              <w:rPr>
                <w:rFonts w:ascii="Times New Roman" w:hAnsi="Times New Roman" w:cs="Times New Roman"/>
                <w:b/>
                <w:bCs/>
                <w:sz w:val="20"/>
                <w:szCs w:val="20"/>
              </w:rPr>
            </w:pPr>
            <w:r w:rsidRPr="00784607">
              <w:rPr>
                <w:rFonts w:ascii="Times New Roman" w:hAnsi="Times New Roman" w:cs="Times New Roman"/>
                <w:b/>
                <w:bCs/>
                <w:sz w:val="20"/>
                <w:szCs w:val="20"/>
              </w:rPr>
              <w:t xml:space="preserve">Annual </w:t>
            </w:r>
            <w:r w:rsidR="00DF12F1">
              <w:rPr>
                <w:rFonts w:ascii="Times New Roman" w:hAnsi="Times New Roman" w:cs="Times New Roman"/>
                <w:b/>
                <w:bCs/>
                <w:sz w:val="20"/>
                <w:szCs w:val="20"/>
              </w:rPr>
              <w:t>R</w:t>
            </w:r>
            <w:r w:rsidRPr="00784607">
              <w:rPr>
                <w:rFonts w:ascii="Times New Roman" w:hAnsi="Times New Roman" w:cs="Times New Roman"/>
                <w:b/>
                <w:bCs/>
                <w:sz w:val="20"/>
                <w:szCs w:val="20"/>
              </w:rPr>
              <w:t>ate (£)</w:t>
            </w:r>
          </w:p>
        </w:tc>
      </w:tr>
      <w:tr w:rsidR="00087757" w14:paraId="3E1C2B23" w14:textId="77777777" w:rsidTr="002174A3">
        <w:trPr>
          <w:jc w:val="center"/>
        </w:trPr>
        <w:tc>
          <w:tcPr>
            <w:tcW w:w="2689" w:type="dxa"/>
          </w:tcPr>
          <w:p w14:paraId="1C0D9883" w14:textId="4C4D816C" w:rsidR="00087757" w:rsidRPr="00784607" w:rsidRDefault="00087757" w:rsidP="00EB5130">
            <w:pPr>
              <w:pStyle w:val="NoSpacing"/>
              <w:jc w:val="center"/>
              <w:rPr>
                <w:rFonts w:ascii="Times New Roman" w:hAnsi="Times New Roman" w:cs="Times New Roman"/>
                <w:bCs/>
                <w:sz w:val="20"/>
                <w:szCs w:val="20"/>
              </w:rPr>
            </w:pPr>
            <w:r w:rsidRPr="00784607">
              <w:rPr>
                <w:rFonts w:ascii="Times New Roman" w:hAnsi="Times New Roman" w:cs="Times New Roman"/>
                <w:sz w:val="20"/>
                <w:szCs w:val="20"/>
              </w:rPr>
              <w:t>£2 million</w:t>
            </w:r>
            <w:r w:rsidR="00D6663C">
              <w:rPr>
                <w:rFonts w:ascii="Times New Roman" w:hAnsi="Times New Roman" w:cs="Times New Roman"/>
                <w:sz w:val="20"/>
                <w:szCs w:val="20"/>
              </w:rPr>
              <w:t xml:space="preserve"> </w:t>
            </w:r>
            <w:r w:rsidRPr="00784607">
              <w:rPr>
                <w:rFonts w:ascii="Times New Roman" w:hAnsi="Times New Roman" w:cs="Times New Roman"/>
                <w:sz w:val="20"/>
                <w:szCs w:val="20"/>
              </w:rPr>
              <w:t>-</w:t>
            </w:r>
            <w:r w:rsidR="00D6663C">
              <w:rPr>
                <w:rFonts w:ascii="Times New Roman" w:hAnsi="Times New Roman" w:cs="Times New Roman"/>
                <w:sz w:val="20"/>
                <w:szCs w:val="20"/>
              </w:rPr>
              <w:t xml:space="preserve"> </w:t>
            </w:r>
            <w:r w:rsidRPr="00784607">
              <w:rPr>
                <w:rFonts w:ascii="Times New Roman" w:hAnsi="Times New Roman" w:cs="Times New Roman"/>
                <w:sz w:val="20"/>
                <w:szCs w:val="20"/>
              </w:rPr>
              <w:t>£2.5 million</w:t>
            </w:r>
          </w:p>
        </w:tc>
        <w:tc>
          <w:tcPr>
            <w:tcW w:w="2835" w:type="dxa"/>
          </w:tcPr>
          <w:p w14:paraId="50A0A664" w14:textId="77777777" w:rsidR="00087757" w:rsidRPr="00784607" w:rsidRDefault="00087757" w:rsidP="00EB5130">
            <w:pPr>
              <w:pStyle w:val="NoSpacing"/>
              <w:jc w:val="center"/>
              <w:rPr>
                <w:rFonts w:ascii="Times New Roman" w:hAnsi="Times New Roman" w:cs="Times New Roman"/>
                <w:bCs/>
                <w:sz w:val="20"/>
                <w:szCs w:val="20"/>
              </w:rPr>
            </w:pPr>
            <w:r w:rsidRPr="00784607">
              <w:rPr>
                <w:rFonts w:ascii="Times New Roman" w:hAnsi="Times New Roman" w:cs="Times New Roman"/>
                <w:sz w:val="20"/>
                <w:szCs w:val="20"/>
              </w:rPr>
              <w:t>£2,500</w:t>
            </w:r>
          </w:p>
        </w:tc>
      </w:tr>
      <w:tr w:rsidR="00087757" w14:paraId="0F25AB4D" w14:textId="77777777" w:rsidTr="002174A3">
        <w:trPr>
          <w:jc w:val="center"/>
        </w:trPr>
        <w:tc>
          <w:tcPr>
            <w:tcW w:w="2689" w:type="dxa"/>
          </w:tcPr>
          <w:p w14:paraId="59AFAB44" w14:textId="2248CCC0" w:rsidR="00087757" w:rsidRPr="00784607" w:rsidRDefault="00087757" w:rsidP="00EB5130">
            <w:pPr>
              <w:pStyle w:val="NoSpacing"/>
              <w:jc w:val="center"/>
              <w:rPr>
                <w:rFonts w:ascii="Times New Roman" w:hAnsi="Times New Roman" w:cs="Times New Roman"/>
                <w:bCs/>
                <w:sz w:val="20"/>
                <w:szCs w:val="20"/>
              </w:rPr>
            </w:pPr>
            <w:r w:rsidRPr="00784607">
              <w:rPr>
                <w:rFonts w:ascii="Times New Roman" w:hAnsi="Times New Roman" w:cs="Times New Roman"/>
                <w:sz w:val="20"/>
                <w:szCs w:val="20"/>
              </w:rPr>
              <w:t>£2.5 million</w:t>
            </w:r>
            <w:r w:rsidR="00D6663C">
              <w:rPr>
                <w:rFonts w:ascii="Times New Roman" w:hAnsi="Times New Roman" w:cs="Times New Roman"/>
                <w:sz w:val="20"/>
                <w:szCs w:val="20"/>
              </w:rPr>
              <w:t xml:space="preserve"> </w:t>
            </w:r>
            <w:r w:rsidRPr="00784607">
              <w:rPr>
                <w:rFonts w:ascii="Times New Roman" w:hAnsi="Times New Roman" w:cs="Times New Roman"/>
                <w:sz w:val="20"/>
                <w:szCs w:val="20"/>
              </w:rPr>
              <w:t>-</w:t>
            </w:r>
            <w:r w:rsidR="00D6663C">
              <w:rPr>
                <w:rFonts w:ascii="Times New Roman" w:hAnsi="Times New Roman" w:cs="Times New Roman"/>
                <w:sz w:val="20"/>
                <w:szCs w:val="20"/>
              </w:rPr>
              <w:t xml:space="preserve"> </w:t>
            </w:r>
            <w:r w:rsidRPr="00784607">
              <w:rPr>
                <w:rFonts w:ascii="Times New Roman" w:hAnsi="Times New Roman" w:cs="Times New Roman"/>
                <w:sz w:val="20"/>
                <w:szCs w:val="20"/>
              </w:rPr>
              <w:t>£3.5 million</w:t>
            </w:r>
          </w:p>
        </w:tc>
        <w:tc>
          <w:tcPr>
            <w:tcW w:w="2835" w:type="dxa"/>
          </w:tcPr>
          <w:p w14:paraId="434A2978" w14:textId="77777777" w:rsidR="00087757" w:rsidRPr="00784607" w:rsidRDefault="00087757" w:rsidP="00EB5130">
            <w:pPr>
              <w:pStyle w:val="NoSpacing"/>
              <w:jc w:val="center"/>
              <w:rPr>
                <w:rFonts w:ascii="Times New Roman" w:hAnsi="Times New Roman" w:cs="Times New Roman"/>
                <w:bCs/>
                <w:sz w:val="20"/>
                <w:szCs w:val="20"/>
              </w:rPr>
            </w:pPr>
            <w:r w:rsidRPr="00784607">
              <w:rPr>
                <w:rFonts w:ascii="Times New Roman" w:hAnsi="Times New Roman" w:cs="Times New Roman"/>
                <w:sz w:val="20"/>
                <w:szCs w:val="20"/>
              </w:rPr>
              <w:t>£3,500</w:t>
            </w:r>
          </w:p>
        </w:tc>
      </w:tr>
      <w:tr w:rsidR="00087757" w14:paraId="5ED64ECF" w14:textId="77777777" w:rsidTr="002174A3">
        <w:trPr>
          <w:jc w:val="center"/>
        </w:trPr>
        <w:tc>
          <w:tcPr>
            <w:tcW w:w="2689" w:type="dxa"/>
          </w:tcPr>
          <w:p w14:paraId="3329601F" w14:textId="5DE3B1D9" w:rsidR="00087757" w:rsidRPr="00784607" w:rsidRDefault="00087757" w:rsidP="00EB5130">
            <w:pPr>
              <w:pStyle w:val="NoSpacing"/>
              <w:jc w:val="center"/>
              <w:rPr>
                <w:rFonts w:ascii="Times New Roman" w:hAnsi="Times New Roman" w:cs="Times New Roman"/>
                <w:bCs/>
                <w:sz w:val="20"/>
                <w:szCs w:val="20"/>
              </w:rPr>
            </w:pPr>
            <w:r w:rsidRPr="00784607">
              <w:rPr>
                <w:rFonts w:ascii="Times New Roman" w:hAnsi="Times New Roman" w:cs="Times New Roman"/>
                <w:sz w:val="20"/>
                <w:szCs w:val="20"/>
              </w:rPr>
              <w:t>£3.5 million -</w:t>
            </w:r>
            <w:r w:rsidR="00D6663C">
              <w:rPr>
                <w:rFonts w:ascii="Times New Roman" w:hAnsi="Times New Roman" w:cs="Times New Roman"/>
                <w:sz w:val="20"/>
                <w:szCs w:val="20"/>
              </w:rPr>
              <w:t xml:space="preserve"> </w:t>
            </w:r>
            <w:r w:rsidRPr="00784607">
              <w:rPr>
                <w:rFonts w:ascii="Times New Roman" w:hAnsi="Times New Roman" w:cs="Times New Roman"/>
                <w:sz w:val="20"/>
                <w:szCs w:val="20"/>
              </w:rPr>
              <w:t>£5 million</w:t>
            </w:r>
          </w:p>
        </w:tc>
        <w:tc>
          <w:tcPr>
            <w:tcW w:w="2835" w:type="dxa"/>
          </w:tcPr>
          <w:p w14:paraId="5559531C" w14:textId="77777777" w:rsidR="00087757" w:rsidRPr="00784607" w:rsidRDefault="00087757" w:rsidP="00EB5130">
            <w:pPr>
              <w:pStyle w:val="NoSpacing"/>
              <w:jc w:val="center"/>
              <w:rPr>
                <w:rFonts w:ascii="Times New Roman" w:hAnsi="Times New Roman" w:cs="Times New Roman"/>
                <w:bCs/>
                <w:sz w:val="20"/>
                <w:szCs w:val="20"/>
              </w:rPr>
            </w:pPr>
            <w:r w:rsidRPr="00784607">
              <w:rPr>
                <w:rFonts w:ascii="Times New Roman" w:hAnsi="Times New Roman" w:cs="Times New Roman"/>
                <w:sz w:val="20"/>
                <w:szCs w:val="20"/>
              </w:rPr>
              <w:t>£5,000</w:t>
            </w:r>
          </w:p>
        </w:tc>
      </w:tr>
      <w:tr w:rsidR="00087757" w14:paraId="7F47CDE2" w14:textId="77777777" w:rsidTr="002174A3">
        <w:trPr>
          <w:jc w:val="center"/>
        </w:trPr>
        <w:tc>
          <w:tcPr>
            <w:tcW w:w="2689" w:type="dxa"/>
          </w:tcPr>
          <w:p w14:paraId="5E9A3BC8" w14:textId="77777777" w:rsidR="00087757" w:rsidRPr="00784607" w:rsidRDefault="00087757" w:rsidP="00EB5130">
            <w:pPr>
              <w:pStyle w:val="NoSpacing"/>
              <w:jc w:val="center"/>
              <w:rPr>
                <w:rFonts w:ascii="Times New Roman" w:hAnsi="Times New Roman" w:cs="Times New Roman"/>
                <w:bCs/>
                <w:sz w:val="20"/>
                <w:szCs w:val="20"/>
              </w:rPr>
            </w:pPr>
            <w:r w:rsidRPr="00784607">
              <w:rPr>
                <w:rFonts w:ascii="Times New Roman" w:hAnsi="Times New Roman" w:cs="Times New Roman"/>
                <w:sz w:val="20"/>
                <w:szCs w:val="20"/>
              </w:rPr>
              <w:t>£5 million+</w:t>
            </w:r>
          </w:p>
        </w:tc>
        <w:tc>
          <w:tcPr>
            <w:tcW w:w="2835" w:type="dxa"/>
          </w:tcPr>
          <w:p w14:paraId="5DF446AA" w14:textId="77777777" w:rsidR="00087757" w:rsidRPr="00784607" w:rsidRDefault="00087757" w:rsidP="00EB5130">
            <w:pPr>
              <w:pStyle w:val="NoSpacing"/>
              <w:jc w:val="center"/>
              <w:rPr>
                <w:rFonts w:ascii="Times New Roman" w:hAnsi="Times New Roman" w:cs="Times New Roman"/>
                <w:bCs/>
                <w:sz w:val="20"/>
                <w:szCs w:val="20"/>
              </w:rPr>
            </w:pPr>
            <w:r w:rsidRPr="00784607">
              <w:rPr>
                <w:rFonts w:ascii="Times New Roman" w:hAnsi="Times New Roman" w:cs="Times New Roman"/>
                <w:sz w:val="20"/>
                <w:szCs w:val="20"/>
              </w:rPr>
              <w:t>£7,500</w:t>
            </w:r>
          </w:p>
        </w:tc>
      </w:tr>
    </w:tbl>
    <w:p w14:paraId="525C5938" w14:textId="77777777" w:rsidR="00087757" w:rsidRDefault="00087757" w:rsidP="00087757">
      <w:pPr>
        <w:pStyle w:val="NoSpacing"/>
        <w:jc w:val="both"/>
        <w:rPr>
          <w:rFonts w:ascii="Times New Roman" w:hAnsi="Times New Roman" w:cs="Times New Roman"/>
          <w:bCs/>
          <w:sz w:val="20"/>
        </w:rPr>
      </w:pPr>
    </w:p>
    <w:p w14:paraId="564B8DB1" w14:textId="77777777" w:rsidR="0098198D" w:rsidRPr="00681709" w:rsidRDefault="0098198D" w:rsidP="00087757">
      <w:pPr>
        <w:pStyle w:val="NoSpacing"/>
        <w:jc w:val="both"/>
        <w:rPr>
          <w:rFonts w:ascii="Times New Roman" w:hAnsi="Times New Roman" w:cs="Times New Roman"/>
          <w:bCs/>
          <w:sz w:val="20"/>
        </w:rPr>
      </w:pPr>
    </w:p>
    <w:p w14:paraId="3BD7AC96" w14:textId="77777777" w:rsidR="00087757" w:rsidRPr="00AD739E" w:rsidRDefault="00087757" w:rsidP="00087757">
      <w:pPr>
        <w:pStyle w:val="NoSpacing"/>
        <w:shd w:val="clear" w:color="auto" w:fill="D9D9D9" w:themeFill="background1" w:themeFillShade="D9"/>
        <w:jc w:val="both"/>
        <w:rPr>
          <w:rFonts w:ascii="Times New Roman" w:hAnsi="Times New Roman" w:cs="Times New Roman"/>
          <w:b/>
          <w:bCs/>
          <w:sz w:val="20"/>
          <w:szCs w:val="20"/>
        </w:rPr>
      </w:pPr>
      <w:r>
        <w:rPr>
          <w:rFonts w:ascii="Times New Roman" w:hAnsi="Times New Roman" w:cs="Times New Roman"/>
          <w:b/>
          <w:bCs/>
          <w:sz w:val="20"/>
          <w:szCs w:val="20"/>
        </w:rPr>
        <w:t>5</w:t>
      </w:r>
      <w:r w:rsidRPr="00AD739E">
        <w:rPr>
          <w:rFonts w:ascii="Times New Roman" w:hAnsi="Times New Roman" w:cs="Times New Roman"/>
          <w:b/>
          <w:bCs/>
          <w:sz w:val="20"/>
          <w:szCs w:val="20"/>
        </w:rPr>
        <w:t>.</w:t>
      </w:r>
      <w:r>
        <w:rPr>
          <w:rFonts w:ascii="Times New Roman" w:hAnsi="Times New Roman" w:cs="Times New Roman"/>
          <w:b/>
          <w:bCs/>
          <w:sz w:val="20"/>
          <w:szCs w:val="20"/>
        </w:rPr>
        <w:t>2</w:t>
      </w:r>
      <w:r w:rsidRPr="00AD739E">
        <w:rPr>
          <w:rFonts w:ascii="Times New Roman" w:hAnsi="Times New Roman" w:cs="Times New Roman"/>
          <w:b/>
          <w:bCs/>
          <w:sz w:val="20"/>
          <w:szCs w:val="20"/>
        </w:rPr>
        <w:t xml:space="preserve"> </w:t>
      </w:r>
      <w:r>
        <w:rPr>
          <w:rFonts w:ascii="Times New Roman" w:hAnsi="Times New Roman" w:cs="Times New Roman"/>
          <w:b/>
          <w:bCs/>
          <w:sz w:val="20"/>
          <w:szCs w:val="20"/>
        </w:rPr>
        <w:t>Impact</w:t>
      </w:r>
    </w:p>
    <w:p w14:paraId="5C04C35E" w14:textId="77777777" w:rsidR="00087757" w:rsidRDefault="00087757" w:rsidP="00087757">
      <w:pPr>
        <w:pStyle w:val="NoSpacing"/>
        <w:jc w:val="both"/>
        <w:rPr>
          <w:rFonts w:ascii="Times New Roman" w:hAnsi="Times New Roman" w:cs="Times New Roman"/>
          <w:bCs/>
          <w:sz w:val="20"/>
        </w:rPr>
      </w:pPr>
    </w:p>
    <w:p w14:paraId="3DC7D4ED" w14:textId="77777777" w:rsidR="00087757" w:rsidRDefault="00087757" w:rsidP="0083002F">
      <w:pPr>
        <w:pStyle w:val="NoSpacing"/>
        <w:numPr>
          <w:ilvl w:val="0"/>
          <w:numId w:val="14"/>
        </w:numPr>
        <w:jc w:val="both"/>
        <w:rPr>
          <w:rFonts w:ascii="Times New Roman" w:hAnsi="Times New Roman" w:cs="Times New Roman"/>
          <w:bCs/>
          <w:sz w:val="20"/>
        </w:rPr>
      </w:pPr>
      <w:r w:rsidRPr="00784607">
        <w:rPr>
          <w:rFonts w:ascii="Times New Roman" w:hAnsi="Times New Roman" w:cs="Times New Roman"/>
          <w:bCs/>
          <w:sz w:val="20"/>
        </w:rPr>
        <w:t>Roughly 145,000 properties will be affected, according to estate agent Savills.</w:t>
      </w:r>
    </w:p>
    <w:p w14:paraId="5C84822E" w14:textId="77777777" w:rsidR="00087757" w:rsidRDefault="00087757" w:rsidP="0083002F">
      <w:pPr>
        <w:pStyle w:val="NoSpacing"/>
        <w:numPr>
          <w:ilvl w:val="0"/>
          <w:numId w:val="14"/>
        </w:numPr>
        <w:jc w:val="both"/>
        <w:rPr>
          <w:rFonts w:ascii="Times New Roman" w:hAnsi="Times New Roman" w:cs="Times New Roman"/>
          <w:bCs/>
          <w:sz w:val="20"/>
        </w:rPr>
      </w:pPr>
      <w:r w:rsidRPr="00784607">
        <w:rPr>
          <w:rFonts w:ascii="Times New Roman" w:hAnsi="Times New Roman" w:cs="Times New Roman"/>
          <w:bCs/>
          <w:sz w:val="20"/>
        </w:rPr>
        <w:t>Ensuring there is sufficient liquidity to pay the charge may be a challenge for some (especially where the property in question is a main residence rather than a let property).</w:t>
      </w:r>
    </w:p>
    <w:p w14:paraId="587A08E1" w14:textId="788C4CA6" w:rsidR="00087757" w:rsidRDefault="00087757" w:rsidP="0083002F">
      <w:pPr>
        <w:pStyle w:val="NoSpacing"/>
        <w:numPr>
          <w:ilvl w:val="0"/>
          <w:numId w:val="14"/>
        </w:numPr>
        <w:jc w:val="both"/>
        <w:rPr>
          <w:rFonts w:ascii="Times New Roman" w:hAnsi="Times New Roman" w:cs="Times New Roman"/>
          <w:bCs/>
          <w:sz w:val="20"/>
        </w:rPr>
      </w:pPr>
      <w:r w:rsidRPr="00784607">
        <w:rPr>
          <w:rFonts w:ascii="Times New Roman" w:hAnsi="Times New Roman" w:cs="Times New Roman"/>
          <w:bCs/>
          <w:sz w:val="20"/>
        </w:rPr>
        <w:t>This su</w:t>
      </w:r>
      <w:r w:rsidR="0045200B">
        <w:rPr>
          <w:rFonts w:ascii="Times New Roman" w:hAnsi="Times New Roman" w:cs="Times New Roman"/>
          <w:bCs/>
          <w:sz w:val="20"/>
        </w:rPr>
        <w:t>r</w:t>
      </w:r>
      <w:r w:rsidRPr="00784607">
        <w:rPr>
          <w:rFonts w:ascii="Times New Roman" w:hAnsi="Times New Roman" w:cs="Times New Roman"/>
          <w:bCs/>
          <w:sz w:val="20"/>
        </w:rPr>
        <w:t>charge may also have an impact on the market value of affected properties due to the additional annual cost.</w:t>
      </w:r>
    </w:p>
    <w:p w14:paraId="7087A3AE" w14:textId="77777777" w:rsidR="00087757" w:rsidRDefault="00087757" w:rsidP="00087757">
      <w:pPr>
        <w:pStyle w:val="NoSpacing"/>
        <w:jc w:val="both"/>
        <w:rPr>
          <w:rFonts w:ascii="Times New Roman" w:hAnsi="Times New Roman" w:cs="Times New Roman"/>
          <w:bCs/>
          <w:sz w:val="20"/>
        </w:rPr>
      </w:pPr>
    </w:p>
    <w:p w14:paraId="612FCEC7" w14:textId="77777777" w:rsidR="0098198D" w:rsidRDefault="0098198D" w:rsidP="00087757">
      <w:pPr>
        <w:pStyle w:val="NoSpacing"/>
        <w:jc w:val="both"/>
        <w:rPr>
          <w:rFonts w:ascii="Times New Roman" w:hAnsi="Times New Roman" w:cs="Times New Roman"/>
          <w:bCs/>
          <w:sz w:val="20"/>
        </w:rPr>
      </w:pPr>
    </w:p>
    <w:p w14:paraId="1E9F36DC" w14:textId="3C959D9D" w:rsidR="00087757" w:rsidRPr="00AD739E" w:rsidRDefault="00087757" w:rsidP="00087757">
      <w:pPr>
        <w:pStyle w:val="NoSpacing"/>
        <w:shd w:val="clear" w:color="auto" w:fill="D9D9D9" w:themeFill="background1" w:themeFillShade="D9"/>
        <w:jc w:val="both"/>
        <w:rPr>
          <w:rFonts w:ascii="Times New Roman" w:hAnsi="Times New Roman" w:cs="Times New Roman"/>
          <w:b/>
          <w:bCs/>
          <w:sz w:val="20"/>
          <w:szCs w:val="20"/>
        </w:rPr>
      </w:pPr>
      <w:r>
        <w:rPr>
          <w:rFonts w:ascii="Times New Roman" w:hAnsi="Times New Roman" w:cs="Times New Roman"/>
          <w:b/>
          <w:bCs/>
          <w:sz w:val="20"/>
          <w:szCs w:val="20"/>
        </w:rPr>
        <w:t>5</w:t>
      </w:r>
      <w:r w:rsidRPr="00AD739E">
        <w:rPr>
          <w:rFonts w:ascii="Times New Roman" w:hAnsi="Times New Roman" w:cs="Times New Roman"/>
          <w:b/>
          <w:bCs/>
          <w:sz w:val="20"/>
          <w:szCs w:val="20"/>
        </w:rPr>
        <w:t>.</w:t>
      </w:r>
      <w:r>
        <w:rPr>
          <w:rFonts w:ascii="Times New Roman" w:hAnsi="Times New Roman" w:cs="Times New Roman"/>
          <w:b/>
          <w:bCs/>
          <w:sz w:val="20"/>
          <w:szCs w:val="20"/>
        </w:rPr>
        <w:t>3</w:t>
      </w:r>
      <w:r w:rsidRPr="00AD739E">
        <w:rPr>
          <w:rFonts w:ascii="Times New Roman" w:hAnsi="Times New Roman" w:cs="Times New Roman"/>
          <w:b/>
          <w:bCs/>
          <w:sz w:val="20"/>
          <w:szCs w:val="20"/>
        </w:rPr>
        <w:t xml:space="preserve"> </w:t>
      </w:r>
      <w:r>
        <w:rPr>
          <w:rFonts w:ascii="Times New Roman" w:hAnsi="Times New Roman" w:cs="Times New Roman"/>
          <w:b/>
          <w:bCs/>
          <w:sz w:val="20"/>
          <w:szCs w:val="20"/>
        </w:rPr>
        <w:t xml:space="preserve">Sandle Nash </w:t>
      </w:r>
      <w:r w:rsidR="00E152F8">
        <w:rPr>
          <w:rFonts w:ascii="Times New Roman" w:hAnsi="Times New Roman" w:cs="Times New Roman"/>
          <w:b/>
          <w:bCs/>
          <w:sz w:val="20"/>
          <w:szCs w:val="20"/>
        </w:rPr>
        <w:t>Limited C</w:t>
      </w:r>
      <w:r>
        <w:rPr>
          <w:rFonts w:ascii="Times New Roman" w:hAnsi="Times New Roman" w:cs="Times New Roman"/>
          <w:b/>
          <w:bCs/>
          <w:sz w:val="20"/>
          <w:szCs w:val="20"/>
        </w:rPr>
        <w:t xml:space="preserve">omments / </w:t>
      </w:r>
      <w:r w:rsidR="00E152F8">
        <w:rPr>
          <w:rFonts w:ascii="Times New Roman" w:hAnsi="Times New Roman" w:cs="Times New Roman"/>
          <w:b/>
          <w:bCs/>
          <w:sz w:val="20"/>
          <w:szCs w:val="20"/>
        </w:rPr>
        <w:t xml:space="preserve">Possible </w:t>
      </w:r>
      <w:r>
        <w:rPr>
          <w:rFonts w:ascii="Times New Roman" w:hAnsi="Times New Roman" w:cs="Times New Roman"/>
          <w:b/>
          <w:bCs/>
          <w:sz w:val="20"/>
          <w:szCs w:val="20"/>
        </w:rPr>
        <w:t xml:space="preserve">Planning </w:t>
      </w:r>
      <w:r w:rsidR="00E152F8">
        <w:rPr>
          <w:rFonts w:ascii="Times New Roman" w:hAnsi="Times New Roman" w:cs="Times New Roman"/>
          <w:b/>
          <w:bCs/>
          <w:sz w:val="20"/>
          <w:szCs w:val="20"/>
        </w:rPr>
        <w:t>O</w:t>
      </w:r>
      <w:r>
        <w:rPr>
          <w:rFonts w:ascii="Times New Roman" w:hAnsi="Times New Roman" w:cs="Times New Roman"/>
          <w:b/>
          <w:bCs/>
          <w:sz w:val="20"/>
          <w:szCs w:val="20"/>
        </w:rPr>
        <w:t>pportunities</w:t>
      </w:r>
    </w:p>
    <w:p w14:paraId="24280661" w14:textId="77777777" w:rsidR="00087757" w:rsidRPr="00784607" w:rsidRDefault="00087757" w:rsidP="00087757">
      <w:pPr>
        <w:pStyle w:val="NoSpacing"/>
        <w:jc w:val="both"/>
        <w:rPr>
          <w:rFonts w:ascii="Times New Roman" w:hAnsi="Times New Roman" w:cs="Times New Roman"/>
          <w:sz w:val="20"/>
          <w:szCs w:val="20"/>
        </w:rPr>
      </w:pPr>
    </w:p>
    <w:p w14:paraId="2E898E88" w14:textId="04A52378" w:rsidR="00087757" w:rsidRPr="00784607" w:rsidRDefault="00087757" w:rsidP="00087757">
      <w:pPr>
        <w:pStyle w:val="NoSpacing"/>
        <w:jc w:val="both"/>
        <w:rPr>
          <w:rFonts w:ascii="Times New Roman" w:hAnsi="Times New Roman" w:cs="Times New Roman"/>
          <w:sz w:val="20"/>
          <w:szCs w:val="20"/>
        </w:rPr>
      </w:pPr>
      <w:r w:rsidRPr="00784607">
        <w:rPr>
          <w:rFonts w:ascii="Times New Roman" w:hAnsi="Times New Roman" w:cs="Times New Roman"/>
          <w:sz w:val="20"/>
          <w:szCs w:val="20"/>
        </w:rPr>
        <w:t>The OBR predicts this tax will be factored into the price of properties over time and create price bunches below each band on the scale. There will be a deferral scheme for those unable to pay immediately, and the Government will consult on the details.</w:t>
      </w:r>
      <w:r>
        <w:rPr>
          <w:rFonts w:ascii="Times New Roman" w:hAnsi="Times New Roman" w:cs="Times New Roman"/>
          <w:sz w:val="20"/>
          <w:szCs w:val="20"/>
        </w:rPr>
        <w:t xml:space="preserve"> </w:t>
      </w:r>
      <w:r w:rsidRPr="00784607">
        <w:rPr>
          <w:rFonts w:ascii="Times New Roman" w:hAnsi="Times New Roman" w:cs="Times New Roman"/>
          <w:sz w:val="20"/>
          <w:szCs w:val="20"/>
        </w:rPr>
        <w:t xml:space="preserve">The value of the property will not be determined using current </w:t>
      </w:r>
      <w:r w:rsidR="00E152F8">
        <w:rPr>
          <w:rFonts w:ascii="Times New Roman" w:hAnsi="Times New Roman" w:cs="Times New Roman"/>
          <w:sz w:val="20"/>
          <w:szCs w:val="20"/>
        </w:rPr>
        <w:t>c</w:t>
      </w:r>
      <w:r w:rsidRPr="00784607">
        <w:rPr>
          <w:rFonts w:ascii="Times New Roman" w:hAnsi="Times New Roman" w:cs="Times New Roman"/>
          <w:sz w:val="20"/>
          <w:szCs w:val="20"/>
        </w:rPr>
        <w:t xml:space="preserve">ouncil </w:t>
      </w:r>
      <w:r w:rsidR="006772D7">
        <w:rPr>
          <w:rFonts w:ascii="Times New Roman" w:hAnsi="Times New Roman" w:cs="Times New Roman"/>
          <w:sz w:val="20"/>
          <w:szCs w:val="20"/>
        </w:rPr>
        <w:t>t</w:t>
      </w:r>
      <w:r w:rsidRPr="00784607">
        <w:rPr>
          <w:rFonts w:ascii="Times New Roman" w:hAnsi="Times New Roman" w:cs="Times New Roman"/>
          <w:sz w:val="20"/>
          <w:szCs w:val="20"/>
        </w:rPr>
        <w:t>ax methodology.</w:t>
      </w:r>
    </w:p>
    <w:p w14:paraId="6E2DC255" w14:textId="77777777" w:rsidR="00087757" w:rsidRDefault="00087757" w:rsidP="00087757">
      <w:pPr>
        <w:pStyle w:val="NoSpacing"/>
        <w:jc w:val="both"/>
        <w:rPr>
          <w:rFonts w:ascii="Times New Roman" w:hAnsi="Times New Roman" w:cs="Times New Roman"/>
          <w:bCs/>
          <w:sz w:val="20"/>
          <w:szCs w:val="20"/>
        </w:rPr>
      </w:pPr>
    </w:p>
    <w:p w14:paraId="5000A0D8" w14:textId="77777777" w:rsidR="0098198D" w:rsidRDefault="0098198D" w:rsidP="00087757">
      <w:pPr>
        <w:pStyle w:val="NoSpacing"/>
        <w:jc w:val="both"/>
        <w:rPr>
          <w:rFonts w:ascii="Times New Roman" w:hAnsi="Times New Roman" w:cs="Times New Roman"/>
          <w:bCs/>
          <w:sz w:val="20"/>
          <w:szCs w:val="20"/>
        </w:rPr>
      </w:pPr>
    </w:p>
    <w:p w14:paraId="6C85294B" w14:textId="77777777" w:rsidR="00087757" w:rsidRPr="00087757" w:rsidRDefault="00087757" w:rsidP="00087757">
      <w:pPr>
        <w:pStyle w:val="NoSpacing"/>
        <w:shd w:val="clear" w:color="auto" w:fill="DBE5F1" w:themeFill="accent1" w:themeFillTint="33"/>
        <w:jc w:val="both"/>
        <w:rPr>
          <w:rFonts w:ascii="Times New Roman" w:hAnsi="Times New Roman" w:cs="Times New Roman"/>
          <w:b/>
          <w:sz w:val="20"/>
          <w:szCs w:val="20"/>
        </w:rPr>
      </w:pPr>
      <w:r w:rsidRPr="00087757">
        <w:rPr>
          <w:rFonts w:ascii="Times New Roman" w:hAnsi="Times New Roman" w:cs="Times New Roman"/>
          <w:b/>
          <w:sz w:val="20"/>
          <w:szCs w:val="20"/>
        </w:rPr>
        <w:t>Ahead of additional information being provided, individuals may wish to consider the following but reserve action until further detail emerges:</w:t>
      </w:r>
    </w:p>
    <w:p w14:paraId="4B8E0A2C" w14:textId="77777777" w:rsidR="00087757" w:rsidRPr="00087757" w:rsidRDefault="00087757" w:rsidP="0083002F">
      <w:pPr>
        <w:pStyle w:val="NoSpacing"/>
        <w:numPr>
          <w:ilvl w:val="0"/>
          <w:numId w:val="3"/>
        </w:numPr>
        <w:shd w:val="clear" w:color="auto" w:fill="DBE5F1" w:themeFill="accent1" w:themeFillTint="33"/>
        <w:jc w:val="both"/>
        <w:rPr>
          <w:rFonts w:ascii="Times New Roman" w:hAnsi="Times New Roman" w:cs="Times New Roman"/>
          <w:bCs/>
          <w:sz w:val="20"/>
          <w:szCs w:val="20"/>
        </w:rPr>
      </w:pPr>
      <w:r w:rsidRPr="00087757">
        <w:rPr>
          <w:rFonts w:ascii="Times New Roman" w:hAnsi="Times New Roman" w:cs="Times New Roman"/>
          <w:bCs/>
          <w:sz w:val="20"/>
          <w:szCs w:val="20"/>
        </w:rPr>
        <w:t>Property valuations will be important, including taking into account factors that may increase or decrease the value of a property that is close to the threshold.</w:t>
      </w:r>
    </w:p>
    <w:p w14:paraId="2329116E" w14:textId="77777777" w:rsidR="00087757" w:rsidRPr="00087757" w:rsidRDefault="00087757" w:rsidP="0083002F">
      <w:pPr>
        <w:pStyle w:val="NoSpacing"/>
        <w:numPr>
          <w:ilvl w:val="0"/>
          <w:numId w:val="3"/>
        </w:numPr>
        <w:shd w:val="clear" w:color="auto" w:fill="DBE5F1" w:themeFill="accent1" w:themeFillTint="33"/>
        <w:jc w:val="both"/>
        <w:rPr>
          <w:rFonts w:ascii="Times New Roman" w:hAnsi="Times New Roman" w:cs="Times New Roman"/>
          <w:bCs/>
          <w:sz w:val="20"/>
          <w:szCs w:val="20"/>
        </w:rPr>
      </w:pPr>
      <w:r w:rsidRPr="00087757">
        <w:rPr>
          <w:rFonts w:ascii="Times New Roman" w:hAnsi="Times New Roman" w:cs="Times New Roman"/>
          <w:bCs/>
          <w:sz w:val="20"/>
          <w:szCs w:val="20"/>
        </w:rPr>
        <w:t>As the charge is applied to owners and not occupiers, consider whether renting a property (rather than buying) would be more attractive.</w:t>
      </w:r>
    </w:p>
    <w:p w14:paraId="798E5B76" w14:textId="77777777" w:rsidR="00087757" w:rsidRPr="00087757" w:rsidRDefault="00087757" w:rsidP="0083002F">
      <w:pPr>
        <w:pStyle w:val="NoSpacing"/>
        <w:numPr>
          <w:ilvl w:val="0"/>
          <w:numId w:val="3"/>
        </w:numPr>
        <w:shd w:val="clear" w:color="auto" w:fill="DBE5F1" w:themeFill="accent1" w:themeFillTint="33"/>
        <w:jc w:val="both"/>
        <w:rPr>
          <w:rFonts w:ascii="Times New Roman" w:hAnsi="Times New Roman" w:cs="Times New Roman"/>
          <w:bCs/>
          <w:sz w:val="20"/>
          <w:szCs w:val="20"/>
        </w:rPr>
      </w:pPr>
      <w:r w:rsidRPr="00087757">
        <w:rPr>
          <w:rFonts w:ascii="Times New Roman" w:hAnsi="Times New Roman" w:cs="Times New Roman"/>
          <w:bCs/>
          <w:sz w:val="20"/>
          <w:szCs w:val="20"/>
        </w:rPr>
        <w:t>Downsizing to a property with a lower value may reduce or eliminate the charge.</w:t>
      </w:r>
    </w:p>
    <w:p w14:paraId="6557A80A" w14:textId="4E4E5CED" w:rsidR="00087757" w:rsidRPr="00087757" w:rsidRDefault="00087757" w:rsidP="0083002F">
      <w:pPr>
        <w:pStyle w:val="NoSpacing"/>
        <w:numPr>
          <w:ilvl w:val="0"/>
          <w:numId w:val="3"/>
        </w:numPr>
        <w:shd w:val="clear" w:color="auto" w:fill="DBE5F1" w:themeFill="accent1" w:themeFillTint="33"/>
        <w:jc w:val="both"/>
        <w:rPr>
          <w:rFonts w:ascii="Times New Roman" w:hAnsi="Times New Roman" w:cs="Times New Roman"/>
          <w:bCs/>
          <w:sz w:val="20"/>
          <w:szCs w:val="20"/>
        </w:rPr>
      </w:pPr>
      <w:r w:rsidRPr="00087757">
        <w:rPr>
          <w:rFonts w:ascii="Times New Roman" w:hAnsi="Times New Roman" w:cs="Times New Roman"/>
          <w:bCs/>
          <w:sz w:val="20"/>
          <w:szCs w:val="20"/>
        </w:rPr>
        <w:t>It seems that properties in Wales and Scotland are currently not included, which could provide an opportunity for those located near the border</w:t>
      </w:r>
      <w:r w:rsidR="00E152F8">
        <w:rPr>
          <w:rFonts w:ascii="Times New Roman" w:hAnsi="Times New Roman" w:cs="Times New Roman"/>
          <w:bCs/>
          <w:sz w:val="20"/>
          <w:szCs w:val="20"/>
        </w:rPr>
        <w:t>s</w:t>
      </w:r>
      <w:r w:rsidRPr="00087757">
        <w:rPr>
          <w:rFonts w:ascii="Times New Roman" w:hAnsi="Times New Roman" w:cs="Times New Roman"/>
          <w:bCs/>
          <w:sz w:val="20"/>
          <w:szCs w:val="20"/>
        </w:rPr>
        <w:t>.</w:t>
      </w:r>
    </w:p>
    <w:p w14:paraId="6ED6704E" w14:textId="77777777" w:rsidR="00087757" w:rsidRPr="00087757" w:rsidRDefault="00087757" w:rsidP="0083002F">
      <w:pPr>
        <w:pStyle w:val="NoSpacing"/>
        <w:numPr>
          <w:ilvl w:val="0"/>
          <w:numId w:val="3"/>
        </w:numPr>
        <w:shd w:val="clear" w:color="auto" w:fill="DBE5F1" w:themeFill="accent1" w:themeFillTint="33"/>
        <w:jc w:val="both"/>
        <w:rPr>
          <w:rFonts w:ascii="Times New Roman" w:hAnsi="Times New Roman" w:cs="Times New Roman"/>
          <w:bCs/>
          <w:sz w:val="20"/>
          <w:szCs w:val="20"/>
        </w:rPr>
      </w:pPr>
      <w:r w:rsidRPr="00087757">
        <w:rPr>
          <w:rFonts w:ascii="Times New Roman" w:hAnsi="Times New Roman" w:cs="Times New Roman"/>
          <w:bCs/>
          <w:sz w:val="20"/>
          <w:szCs w:val="20"/>
        </w:rPr>
        <w:t>Consider whether trophy properties are owned in the UK or abroad. For example, a grander holiday home abroad and smaller UK property may be preferable.</w:t>
      </w:r>
    </w:p>
    <w:p w14:paraId="339F5706" w14:textId="77777777" w:rsidR="00087757" w:rsidRPr="00087757" w:rsidRDefault="00087757" w:rsidP="0083002F">
      <w:pPr>
        <w:pStyle w:val="NoSpacing"/>
        <w:numPr>
          <w:ilvl w:val="0"/>
          <w:numId w:val="3"/>
        </w:numPr>
        <w:shd w:val="clear" w:color="auto" w:fill="DBE5F1" w:themeFill="accent1" w:themeFillTint="33"/>
        <w:jc w:val="both"/>
        <w:rPr>
          <w:rFonts w:ascii="Times New Roman" w:hAnsi="Times New Roman" w:cs="Times New Roman"/>
          <w:bCs/>
          <w:sz w:val="20"/>
          <w:szCs w:val="20"/>
        </w:rPr>
      </w:pPr>
      <w:r w:rsidRPr="00087757">
        <w:rPr>
          <w:rFonts w:ascii="Times New Roman" w:hAnsi="Times New Roman" w:cs="Times New Roman"/>
          <w:bCs/>
          <w:sz w:val="20"/>
          <w:szCs w:val="20"/>
        </w:rPr>
        <w:t>Tax planning around splitting ownership titles between multiple individuals or entities may provide opportunity.</w:t>
      </w:r>
    </w:p>
    <w:p w14:paraId="02DA503C" w14:textId="77777777" w:rsidR="00087757" w:rsidRPr="00087757" w:rsidRDefault="00087757" w:rsidP="0083002F">
      <w:pPr>
        <w:pStyle w:val="NoSpacing"/>
        <w:numPr>
          <w:ilvl w:val="0"/>
          <w:numId w:val="3"/>
        </w:numPr>
        <w:shd w:val="clear" w:color="auto" w:fill="DBE5F1" w:themeFill="accent1" w:themeFillTint="33"/>
        <w:jc w:val="both"/>
        <w:rPr>
          <w:rFonts w:ascii="Times New Roman" w:hAnsi="Times New Roman" w:cs="Times New Roman"/>
          <w:bCs/>
          <w:sz w:val="20"/>
          <w:szCs w:val="20"/>
        </w:rPr>
      </w:pPr>
      <w:r w:rsidRPr="00087757">
        <w:rPr>
          <w:rFonts w:ascii="Times New Roman" w:hAnsi="Times New Roman" w:cs="Times New Roman"/>
          <w:bCs/>
          <w:sz w:val="20"/>
          <w:szCs w:val="20"/>
        </w:rPr>
        <w:t>Reconfiguring a single property into smaller multiple properties may also be worth considering.</w:t>
      </w:r>
    </w:p>
    <w:p w14:paraId="0C44B31D" w14:textId="77777777" w:rsidR="00087757" w:rsidRDefault="00087757" w:rsidP="0083002F">
      <w:pPr>
        <w:pStyle w:val="NoSpacing"/>
        <w:numPr>
          <w:ilvl w:val="0"/>
          <w:numId w:val="3"/>
        </w:numPr>
        <w:shd w:val="clear" w:color="auto" w:fill="DBE5F1" w:themeFill="accent1" w:themeFillTint="33"/>
        <w:jc w:val="both"/>
        <w:rPr>
          <w:rFonts w:ascii="Times New Roman" w:hAnsi="Times New Roman" w:cs="Times New Roman"/>
          <w:bCs/>
          <w:sz w:val="20"/>
          <w:szCs w:val="20"/>
        </w:rPr>
      </w:pPr>
      <w:r w:rsidRPr="00087757">
        <w:rPr>
          <w:rFonts w:ascii="Times New Roman" w:hAnsi="Times New Roman" w:cs="Times New Roman"/>
          <w:bCs/>
          <w:sz w:val="20"/>
          <w:szCs w:val="20"/>
        </w:rPr>
        <w:t>Tax efficiency savings elsewhere may free up liquidity to pay this charge.</w:t>
      </w:r>
    </w:p>
    <w:p w14:paraId="6E0F1A44" w14:textId="77777777" w:rsidR="003E2D63" w:rsidRDefault="003E2D63" w:rsidP="00412014">
      <w:pPr>
        <w:pStyle w:val="NoSpacing"/>
        <w:jc w:val="both"/>
        <w:rPr>
          <w:rFonts w:ascii="Times New Roman" w:hAnsi="Times New Roman" w:cs="Times New Roman"/>
          <w:bCs/>
          <w:sz w:val="20"/>
        </w:rPr>
      </w:pPr>
    </w:p>
    <w:p w14:paraId="70FCFD9D" w14:textId="77777777" w:rsidR="0098198D" w:rsidRDefault="0098198D" w:rsidP="00412014">
      <w:pPr>
        <w:pStyle w:val="NoSpacing"/>
        <w:jc w:val="both"/>
        <w:rPr>
          <w:rFonts w:ascii="Times New Roman" w:hAnsi="Times New Roman" w:cs="Times New Roman"/>
          <w:bCs/>
          <w:sz w:val="20"/>
        </w:rPr>
      </w:pPr>
    </w:p>
    <w:p w14:paraId="44DF1D60" w14:textId="75E15D59" w:rsidR="00A12889" w:rsidRPr="00087757" w:rsidRDefault="00087757" w:rsidP="00A12889">
      <w:pPr>
        <w:pStyle w:val="NoSpacing"/>
        <w:shd w:val="clear" w:color="auto" w:fill="336699"/>
        <w:rPr>
          <w:rFonts w:ascii="Times New Roman" w:hAnsi="Times New Roman" w:cs="Times New Roman"/>
          <w:b/>
          <w:color w:val="FFFFFF" w:themeColor="background1"/>
          <w:sz w:val="20"/>
          <w:szCs w:val="20"/>
        </w:rPr>
      </w:pPr>
      <w:r w:rsidRPr="00087757">
        <w:rPr>
          <w:rFonts w:ascii="Times New Roman" w:hAnsi="Times New Roman" w:cs="Times New Roman"/>
          <w:b/>
          <w:color w:val="FFFFFF" w:themeColor="background1"/>
          <w:sz w:val="20"/>
          <w:szCs w:val="20"/>
        </w:rPr>
        <w:t>6</w:t>
      </w:r>
      <w:r w:rsidR="00962EC3" w:rsidRPr="00087757">
        <w:rPr>
          <w:rFonts w:ascii="Times New Roman" w:hAnsi="Times New Roman" w:cs="Times New Roman"/>
          <w:b/>
          <w:color w:val="FFFFFF" w:themeColor="background1"/>
          <w:sz w:val="20"/>
          <w:szCs w:val="20"/>
        </w:rPr>
        <w:t>. Other M</w:t>
      </w:r>
      <w:r w:rsidR="00A12889" w:rsidRPr="00087757">
        <w:rPr>
          <w:rFonts w:ascii="Times New Roman" w:hAnsi="Times New Roman" w:cs="Times New Roman"/>
          <w:b/>
          <w:color w:val="FFFFFF" w:themeColor="background1"/>
          <w:sz w:val="20"/>
          <w:szCs w:val="20"/>
        </w:rPr>
        <w:t>atters</w:t>
      </w:r>
    </w:p>
    <w:p w14:paraId="1A4EE3EF" w14:textId="77777777" w:rsidR="00DA7599" w:rsidRDefault="00DA7599" w:rsidP="00DA7599">
      <w:pPr>
        <w:pStyle w:val="NoSpacing"/>
        <w:jc w:val="both"/>
        <w:rPr>
          <w:color w:val="000000" w:themeColor="text1"/>
          <w:sz w:val="20"/>
          <w:szCs w:val="20"/>
        </w:rPr>
      </w:pPr>
    </w:p>
    <w:p w14:paraId="24A6CC3D" w14:textId="77777777" w:rsidR="0098198D" w:rsidRPr="00892701" w:rsidRDefault="0098198D" w:rsidP="00DA7599">
      <w:pPr>
        <w:pStyle w:val="NoSpacing"/>
        <w:jc w:val="both"/>
        <w:rPr>
          <w:color w:val="000000" w:themeColor="text1"/>
          <w:sz w:val="20"/>
          <w:szCs w:val="20"/>
        </w:rPr>
      </w:pPr>
    </w:p>
    <w:p w14:paraId="5F8AFD9F" w14:textId="77777777" w:rsidR="00DA7599" w:rsidRPr="00892701" w:rsidRDefault="00DA7599" w:rsidP="00DA7599">
      <w:pPr>
        <w:pStyle w:val="NoSpacing"/>
        <w:shd w:val="clear" w:color="auto" w:fill="DBE5F1" w:themeFill="accent1" w:themeFillTint="33"/>
        <w:jc w:val="both"/>
        <w:rPr>
          <w:rFonts w:ascii="Times New Roman" w:hAnsi="Times New Roman" w:cs="Times New Roman"/>
          <w:b/>
          <w:bCs/>
          <w:color w:val="000000" w:themeColor="text1"/>
          <w:sz w:val="20"/>
        </w:rPr>
      </w:pPr>
      <w:r w:rsidRPr="00892701">
        <w:rPr>
          <w:rFonts w:ascii="Times New Roman" w:hAnsi="Times New Roman" w:cs="Times New Roman"/>
          <w:b/>
          <w:bCs/>
          <w:color w:val="000000" w:themeColor="text1"/>
          <w:sz w:val="20"/>
        </w:rPr>
        <w:t>State Pensions</w:t>
      </w:r>
    </w:p>
    <w:p w14:paraId="7230A6A2" w14:textId="77777777" w:rsidR="00DA7599" w:rsidRPr="00892701" w:rsidRDefault="00DA7599" w:rsidP="00DA7599">
      <w:pPr>
        <w:pStyle w:val="NoSpacing"/>
        <w:jc w:val="both"/>
        <w:rPr>
          <w:rFonts w:ascii="Times New Roman" w:hAnsi="Times New Roman" w:cs="Times New Roman"/>
          <w:color w:val="000000" w:themeColor="text1"/>
          <w:sz w:val="20"/>
          <w:szCs w:val="20"/>
        </w:rPr>
      </w:pPr>
    </w:p>
    <w:p w14:paraId="4F7587F1" w14:textId="77777777" w:rsidR="00DA7599" w:rsidRPr="00892701" w:rsidRDefault="00DA7599" w:rsidP="00DA7599">
      <w:pPr>
        <w:pStyle w:val="NoSpacing"/>
        <w:jc w:val="both"/>
        <w:rPr>
          <w:rFonts w:ascii="Times New Roman" w:hAnsi="Times New Roman" w:cs="Times New Roman"/>
          <w:color w:val="000000" w:themeColor="text1"/>
          <w:sz w:val="20"/>
          <w:szCs w:val="20"/>
        </w:rPr>
      </w:pPr>
      <w:r w:rsidRPr="00892701">
        <w:rPr>
          <w:rFonts w:ascii="Times New Roman" w:hAnsi="Times New Roman" w:cs="Times New Roman"/>
          <w:color w:val="000000" w:themeColor="text1"/>
          <w:sz w:val="20"/>
          <w:szCs w:val="20"/>
        </w:rPr>
        <w:t>The triple lock on State Pensions will be retained for the remainder of the current parliament, guaranteeing a 4.8% earnings-based increase in April 2026.</w:t>
      </w:r>
    </w:p>
    <w:p w14:paraId="6AED0263" w14:textId="77777777" w:rsidR="00DA7599" w:rsidRPr="00892701" w:rsidRDefault="00DA7599" w:rsidP="00DA7599">
      <w:pPr>
        <w:pStyle w:val="NoSpacing"/>
        <w:jc w:val="both"/>
        <w:rPr>
          <w:rFonts w:ascii="Times New Roman" w:hAnsi="Times New Roman" w:cs="Times New Roman"/>
          <w:color w:val="000000" w:themeColor="text1"/>
          <w:sz w:val="20"/>
          <w:szCs w:val="20"/>
        </w:rPr>
      </w:pPr>
    </w:p>
    <w:p w14:paraId="21818801" w14:textId="77777777" w:rsidR="00DA7599" w:rsidRPr="00892701" w:rsidRDefault="00DA7599" w:rsidP="00DA7599">
      <w:pPr>
        <w:pStyle w:val="NoSpacing"/>
        <w:jc w:val="both"/>
        <w:rPr>
          <w:rFonts w:ascii="Times New Roman" w:hAnsi="Times New Roman" w:cs="Times New Roman"/>
          <w:color w:val="000000" w:themeColor="text1"/>
          <w:sz w:val="20"/>
          <w:szCs w:val="20"/>
        </w:rPr>
      </w:pPr>
      <w:r w:rsidRPr="00892701">
        <w:rPr>
          <w:rFonts w:ascii="Times New Roman" w:hAnsi="Times New Roman" w:cs="Times New Roman"/>
          <w:color w:val="000000" w:themeColor="text1"/>
          <w:sz w:val="20"/>
          <w:szCs w:val="20"/>
        </w:rPr>
        <w:t>This means that the full New State Pension will increase to £241.30 a week and the full Basic State Pension will increase to £184.90 a week (single person) or £295.70 a week (married couples and civil partners).</w:t>
      </w:r>
    </w:p>
    <w:p w14:paraId="014B418B" w14:textId="77777777" w:rsidR="00DA7599" w:rsidRPr="00892701" w:rsidRDefault="00DA7599" w:rsidP="00DA7599">
      <w:pPr>
        <w:pStyle w:val="NoSpacing"/>
        <w:jc w:val="both"/>
        <w:rPr>
          <w:rFonts w:ascii="Times New Roman" w:hAnsi="Times New Roman" w:cs="Times New Roman"/>
          <w:color w:val="000000" w:themeColor="text1"/>
          <w:sz w:val="20"/>
          <w:szCs w:val="20"/>
        </w:rPr>
      </w:pPr>
    </w:p>
    <w:p w14:paraId="3F1E274C" w14:textId="03EB1138" w:rsidR="00DA7599" w:rsidRPr="00892701" w:rsidRDefault="00DA7599" w:rsidP="00DA7599">
      <w:pPr>
        <w:pStyle w:val="NoSpacing"/>
        <w:jc w:val="both"/>
        <w:rPr>
          <w:rFonts w:ascii="Times New Roman" w:hAnsi="Times New Roman" w:cs="Times New Roman"/>
          <w:color w:val="000000" w:themeColor="text1"/>
          <w:sz w:val="20"/>
          <w:szCs w:val="20"/>
        </w:rPr>
      </w:pPr>
      <w:r w:rsidRPr="00892701">
        <w:rPr>
          <w:rFonts w:ascii="Times New Roman" w:hAnsi="Times New Roman" w:cs="Times New Roman"/>
          <w:color w:val="000000" w:themeColor="text1"/>
          <w:sz w:val="20"/>
          <w:szCs w:val="20"/>
        </w:rPr>
        <w:t xml:space="preserve">With State </w:t>
      </w:r>
      <w:r w:rsidR="00E152F8">
        <w:rPr>
          <w:rFonts w:ascii="Times New Roman" w:hAnsi="Times New Roman" w:cs="Times New Roman"/>
          <w:color w:val="000000" w:themeColor="text1"/>
          <w:sz w:val="20"/>
          <w:szCs w:val="20"/>
        </w:rPr>
        <w:t>P</w:t>
      </w:r>
      <w:r w:rsidRPr="00892701">
        <w:rPr>
          <w:rFonts w:ascii="Times New Roman" w:hAnsi="Times New Roman" w:cs="Times New Roman"/>
          <w:color w:val="000000" w:themeColor="text1"/>
          <w:sz w:val="20"/>
          <w:szCs w:val="20"/>
        </w:rPr>
        <w:t>ensions for some pensioners likely to exceed the Personal Allowance (PA) from April 2027 due to the triple lock and the freezing of the PA, the government is exploring how best to ensure that pensioners, whose only income is the Basic or New State Pension, don’t have to pay small amounts of tax via Simple Assessment.</w:t>
      </w:r>
    </w:p>
    <w:p w14:paraId="30E0BE1C" w14:textId="77777777" w:rsidR="00087757" w:rsidRDefault="00087757" w:rsidP="00087757">
      <w:pPr>
        <w:pStyle w:val="NoSpacing"/>
        <w:jc w:val="both"/>
        <w:rPr>
          <w:color w:val="000000" w:themeColor="text1"/>
          <w:sz w:val="20"/>
          <w:szCs w:val="20"/>
        </w:rPr>
      </w:pPr>
    </w:p>
    <w:p w14:paraId="1B9C39CF" w14:textId="77777777" w:rsidR="0098198D" w:rsidRDefault="0098198D" w:rsidP="00087757">
      <w:pPr>
        <w:pStyle w:val="NoSpacing"/>
        <w:jc w:val="both"/>
        <w:rPr>
          <w:color w:val="000000" w:themeColor="text1"/>
          <w:sz w:val="20"/>
          <w:szCs w:val="20"/>
        </w:rPr>
      </w:pPr>
    </w:p>
    <w:p w14:paraId="04F92D4A" w14:textId="77777777" w:rsidR="0098198D" w:rsidRPr="00892701" w:rsidRDefault="0098198D" w:rsidP="00087757">
      <w:pPr>
        <w:pStyle w:val="NoSpacing"/>
        <w:jc w:val="both"/>
        <w:rPr>
          <w:color w:val="000000" w:themeColor="text1"/>
          <w:sz w:val="20"/>
          <w:szCs w:val="20"/>
        </w:rPr>
      </w:pPr>
    </w:p>
    <w:p w14:paraId="38E9F491" w14:textId="3D23CDF9" w:rsidR="00087757" w:rsidRPr="00892701" w:rsidRDefault="00087757" w:rsidP="00087757">
      <w:pPr>
        <w:pStyle w:val="NoSpacing"/>
        <w:shd w:val="clear" w:color="auto" w:fill="DBE5F1" w:themeFill="accent1" w:themeFillTint="33"/>
        <w:jc w:val="both"/>
        <w:rPr>
          <w:rFonts w:ascii="Times New Roman" w:hAnsi="Times New Roman" w:cs="Times New Roman"/>
          <w:b/>
          <w:bCs/>
          <w:color w:val="000000" w:themeColor="text1"/>
          <w:sz w:val="20"/>
        </w:rPr>
      </w:pPr>
      <w:r w:rsidRPr="00892701">
        <w:rPr>
          <w:rFonts w:ascii="Times New Roman" w:hAnsi="Times New Roman" w:cs="Times New Roman"/>
          <w:b/>
          <w:bCs/>
          <w:color w:val="000000" w:themeColor="text1"/>
          <w:sz w:val="20"/>
        </w:rPr>
        <w:t>Inheritance Tax (IHT)</w:t>
      </w:r>
    </w:p>
    <w:p w14:paraId="02582197" w14:textId="77777777" w:rsidR="00087757" w:rsidRPr="00892701" w:rsidRDefault="00087757" w:rsidP="00087757">
      <w:pPr>
        <w:pStyle w:val="NoSpacing"/>
        <w:jc w:val="both"/>
        <w:rPr>
          <w:rFonts w:ascii="Times New Roman" w:hAnsi="Times New Roman" w:cs="Times New Roman"/>
          <w:color w:val="000000" w:themeColor="text1"/>
          <w:sz w:val="20"/>
          <w:szCs w:val="20"/>
        </w:rPr>
      </w:pPr>
    </w:p>
    <w:p w14:paraId="1B2F99B7" w14:textId="1D65B244" w:rsidR="0045200B" w:rsidRPr="00892701" w:rsidRDefault="0045200B" w:rsidP="0045200B">
      <w:pPr>
        <w:pStyle w:val="NoSpacing"/>
        <w:jc w:val="both"/>
        <w:rPr>
          <w:rFonts w:ascii="Times New Roman" w:hAnsi="Times New Roman" w:cs="Times New Roman"/>
          <w:color w:val="000000" w:themeColor="text1"/>
          <w:sz w:val="20"/>
          <w:szCs w:val="20"/>
        </w:rPr>
      </w:pPr>
      <w:r w:rsidRPr="00892701">
        <w:rPr>
          <w:rFonts w:ascii="Times New Roman" w:hAnsi="Times New Roman" w:cs="Times New Roman"/>
          <w:color w:val="000000" w:themeColor="text1"/>
          <w:sz w:val="20"/>
          <w:szCs w:val="20"/>
        </w:rPr>
        <w:t xml:space="preserve">The freeze to the IHT threshold of £325,000 and the Residence </w:t>
      </w:r>
      <w:r w:rsidR="00E152F8">
        <w:rPr>
          <w:rFonts w:ascii="Times New Roman" w:hAnsi="Times New Roman" w:cs="Times New Roman"/>
          <w:color w:val="000000" w:themeColor="text1"/>
          <w:sz w:val="20"/>
          <w:szCs w:val="20"/>
        </w:rPr>
        <w:t>N</w:t>
      </w:r>
      <w:r w:rsidRPr="00892701">
        <w:rPr>
          <w:rFonts w:ascii="Times New Roman" w:hAnsi="Times New Roman" w:cs="Times New Roman"/>
          <w:color w:val="000000" w:themeColor="text1"/>
          <w:sz w:val="20"/>
          <w:szCs w:val="20"/>
        </w:rPr>
        <w:t xml:space="preserve">il-rate </w:t>
      </w:r>
      <w:r w:rsidR="00E152F8">
        <w:rPr>
          <w:rFonts w:ascii="Times New Roman" w:hAnsi="Times New Roman" w:cs="Times New Roman"/>
          <w:color w:val="000000" w:themeColor="text1"/>
          <w:sz w:val="20"/>
          <w:szCs w:val="20"/>
        </w:rPr>
        <w:t>B</w:t>
      </w:r>
      <w:r w:rsidRPr="00892701">
        <w:rPr>
          <w:rFonts w:ascii="Times New Roman" w:hAnsi="Times New Roman" w:cs="Times New Roman"/>
          <w:color w:val="000000" w:themeColor="text1"/>
          <w:sz w:val="20"/>
          <w:szCs w:val="20"/>
        </w:rPr>
        <w:t>and of £175,000 per person (where available) have been extended a further year to April 2031.</w:t>
      </w:r>
    </w:p>
    <w:p w14:paraId="05EE25AF" w14:textId="77777777" w:rsidR="0045200B" w:rsidRPr="00892701" w:rsidRDefault="0045200B" w:rsidP="0045200B">
      <w:pPr>
        <w:pStyle w:val="NoSpacing"/>
        <w:jc w:val="both"/>
        <w:rPr>
          <w:rFonts w:ascii="Times New Roman" w:hAnsi="Times New Roman" w:cs="Times New Roman"/>
          <w:color w:val="000000" w:themeColor="text1"/>
          <w:sz w:val="20"/>
          <w:szCs w:val="20"/>
        </w:rPr>
      </w:pPr>
    </w:p>
    <w:p w14:paraId="11CF7FE0" w14:textId="77777777" w:rsidR="0045200B" w:rsidRPr="00892701" w:rsidRDefault="0045200B" w:rsidP="0045200B">
      <w:pPr>
        <w:pStyle w:val="NoSpacing"/>
        <w:jc w:val="both"/>
        <w:rPr>
          <w:rFonts w:ascii="Times New Roman" w:hAnsi="Times New Roman" w:cs="Times New Roman"/>
          <w:color w:val="000000" w:themeColor="text1"/>
          <w:sz w:val="20"/>
          <w:szCs w:val="20"/>
        </w:rPr>
      </w:pPr>
      <w:r w:rsidRPr="00892701">
        <w:rPr>
          <w:rFonts w:ascii="Times New Roman" w:hAnsi="Times New Roman" w:cs="Times New Roman"/>
          <w:color w:val="000000" w:themeColor="text1"/>
          <w:sz w:val="20"/>
          <w:szCs w:val="20"/>
        </w:rPr>
        <w:t>Lifetime gifting rules and allowances remain unchanged.</w:t>
      </w:r>
    </w:p>
    <w:p w14:paraId="1EEE893F" w14:textId="77777777" w:rsidR="00E152F8" w:rsidRPr="00892701" w:rsidRDefault="00E152F8" w:rsidP="00DA7599">
      <w:pPr>
        <w:pStyle w:val="NoSpacing"/>
        <w:jc w:val="both"/>
        <w:rPr>
          <w:color w:val="000000" w:themeColor="text1"/>
          <w:sz w:val="20"/>
          <w:szCs w:val="20"/>
        </w:rPr>
      </w:pPr>
    </w:p>
    <w:p w14:paraId="1CD927E5" w14:textId="52876977" w:rsidR="00DA7599" w:rsidRPr="00892701" w:rsidRDefault="00DA7599" w:rsidP="00DA7599">
      <w:pPr>
        <w:pStyle w:val="NoSpacing"/>
        <w:shd w:val="clear" w:color="auto" w:fill="DBE5F1" w:themeFill="accent1" w:themeFillTint="33"/>
        <w:jc w:val="both"/>
        <w:rPr>
          <w:rFonts w:ascii="Times New Roman" w:hAnsi="Times New Roman" w:cs="Times New Roman"/>
          <w:b/>
          <w:bCs/>
          <w:color w:val="000000" w:themeColor="text1"/>
          <w:sz w:val="20"/>
        </w:rPr>
      </w:pPr>
      <w:r w:rsidRPr="00892701">
        <w:rPr>
          <w:rFonts w:ascii="Times New Roman" w:hAnsi="Times New Roman" w:cs="Times New Roman"/>
          <w:b/>
          <w:bCs/>
          <w:color w:val="000000" w:themeColor="text1"/>
          <w:sz w:val="20"/>
        </w:rPr>
        <w:t xml:space="preserve">Inheritance Tax (IHT) on </w:t>
      </w:r>
      <w:r w:rsidR="00E152F8">
        <w:rPr>
          <w:rFonts w:ascii="Times New Roman" w:hAnsi="Times New Roman" w:cs="Times New Roman"/>
          <w:b/>
          <w:bCs/>
          <w:color w:val="000000" w:themeColor="text1"/>
          <w:sz w:val="20"/>
        </w:rPr>
        <w:t>P</w:t>
      </w:r>
      <w:r w:rsidRPr="00892701">
        <w:rPr>
          <w:rFonts w:ascii="Times New Roman" w:hAnsi="Times New Roman" w:cs="Times New Roman"/>
          <w:b/>
          <w:bCs/>
          <w:color w:val="000000" w:themeColor="text1"/>
          <w:sz w:val="20"/>
        </w:rPr>
        <w:t>ensions</w:t>
      </w:r>
    </w:p>
    <w:p w14:paraId="51DC306A" w14:textId="77777777" w:rsidR="00DA7599" w:rsidRPr="00892701" w:rsidRDefault="00DA7599" w:rsidP="00DA7599">
      <w:pPr>
        <w:pStyle w:val="NoSpacing"/>
        <w:jc w:val="both"/>
        <w:rPr>
          <w:rFonts w:ascii="Times New Roman" w:hAnsi="Times New Roman" w:cs="Times New Roman"/>
          <w:color w:val="000000" w:themeColor="text1"/>
          <w:sz w:val="20"/>
          <w:szCs w:val="20"/>
        </w:rPr>
      </w:pPr>
    </w:p>
    <w:p w14:paraId="073A4381" w14:textId="77777777" w:rsidR="00DA7599" w:rsidRPr="00892701" w:rsidRDefault="00DA7599" w:rsidP="00DA7599">
      <w:pPr>
        <w:pStyle w:val="NoSpacing"/>
        <w:jc w:val="both"/>
        <w:rPr>
          <w:rFonts w:ascii="Times New Roman" w:hAnsi="Times New Roman" w:cs="Times New Roman"/>
          <w:color w:val="000000" w:themeColor="text1"/>
          <w:sz w:val="20"/>
          <w:szCs w:val="20"/>
        </w:rPr>
      </w:pPr>
      <w:r w:rsidRPr="00892701">
        <w:rPr>
          <w:rFonts w:ascii="Times New Roman" w:hAnsi="Times New Roman" w:cs="Times New Roman"/>
          <w:color w:val="000000" w:themeColor="text1"/>
          <w:sz w:val="20"/>
          <w:szCs w:val="20"/>
        </w:rPr>
        <w:t>Unused pensions will be brought into the calculation of IHT from April 2027, as previously proposed. Under the proposals personal representatives (PRs) are responsible for calculating and paying the IHT due from the pension scheme.</w:t>
      </w:r>
    </w:p>
    <w:p w14:paraId="613C5C0A" w14:textId="77777777" w:rsidR="00DA7599" w:rsidRPr="00892701" w:rsidRDefault="00DA7599" w:rsidP="00DA7599">
      <w:pPr>
        <w:pStyle w:val="NoSpacing"/>
        <w:jc w:val="both"/>
        <w:rPr>
          <w:rFonts w:ascii="Times New Roman" w:hAnsi="Times New Roman" w:cs="Times New Roman"/>
          <w:color w:val="000000" w:themeColor="text1"/>
          <w:sz w:val="20"/>
          <w:szCs w:val="20"/>
        </w:rPr>
      </w:pPr>
    </w:p>
    <w:p w14:paraId="63A3E3F7" w14:textId="77777777" w:rsidR="00DA7599" w:rsidRPr="00892701" w:rsidRDefault="00DA7599" w:rsidP="00DA7599">
      <w:pPr>
        <w:pStyle w:val="NoSpacing"/>
        <w:jc w:val="both"/>
        <w:rPr>
          <w:rFonts w:ascii="Times New Roman" w:hAnsi="Times New Roman" w:cs="Times New Roman"/>
          <w:color w:val="000000" w:themeColor="text1"/>
          <w:sz w:val="20"/>
          <w:szCs w:val="20"/>
        </w:rPr>
      </w:pPr>
      <w:r w:rsidRPr="00892701">
        <w:rPr>
          <w:rFonts w:ascii="Times New Roman" w:hAnsi="Times New Roman" w:cs="Times New Roman"/>
          <w:color w:val="000000" w:themeColor="text1"/>
          <w:sz w:val="20"/>
          <w:szCs w:val="20"/>
        </w:rPr>
        <w:t>There will be a tweak to the proposed process to give the PRs the power to ask the pension scheme to withhold 50% of the taxable benefits for up to 15 months and to pay the IHT due in certain circumstances. The PRs will also no longer be liable for the payment of any IHT due on pensions discovered after they have received clearance from HMRC.</w:t>
      </w:r>
    </w:p>
    <w:p w14:paraId="216D6FFF" w14:textId="77777777" w:rsidR="00DA7599" w:rsidRPr="00892701" w:rsidRDefault="00DA7599" w:rsidP="00DA7599">
      <w:pPr>
        <w:pStyle w:val="NoSpacing"/>
        <w:jc w:val="both"/>
        <w:rPr>
          <w:rFonts w:ascii="Times New Roman" w:hAnsi="Times New Roman" w:cs="Times New Roman"/>
          <w:color w:val="000000" w:themeColor="text1"/>
          <w:sz w:val="20"/>
          <w:szCs w:val="20"/>
        </w:rPr>
      </w:pPr>
    </w:p>
    <w:p w14:paraId="7E6E4760" w14:textId="23D09157" w:rsidR="00DA7599" w:rsidRPr="00892701" w:rsidRDefault="00DA7599" w:rsidP="00DA7599">
      <w:pPr>
        <w:pStyle w:val="NoSpacing"/>
        <w:jc w:val="both"/>
        <w:rPr>
          <w:color w:val="000000" w:themeColor="text1"/>
          <w:sz w:val="20"/>
          <w:szCs w:val="20"/>
        </w:rPr>
      </w:pPr>
      <w:r w:rsidRPr="00892701">
        <w:rPr>
          <w:rFonts w:ascii="Times New Roman" w:hAnsi="Times New Roman" w:cs="Times New Roman"/>
          <w:color w:val="000000" w:themeColor="text1"/>
          <w:sz w:val="20"/>
          <w:szCs w:val="20"/>
        </w:rPr>
        <w:t xml:space="preserve">This will give PRs some much needed flexibility to pay the IHT due. </w:t>
      </w:r>
      <w:r w:rsidR="00E152F8">
        <w:rPr>
          <w:rFonts w:ascii="Times New Roman" w:hAnsi="Times New Roman" w:cs="Times New Roman"/>
          <w:color w:val="000000" w:themeColor="text1"/>
          <w:sz w:val="20"/>
          <w:szCs w:val="20"/>
        </w:rPr>
        <w:t>Unfortunately, the pension industry’s efforts to lobby the Government / HMRC to find different ways of taxing pension benefits (to protect the most vulnerable) appears to have been unsuccessful.</w:t>
      </w:r>
    </w:p>
    <w:p w14:paraId="67B5217D" w14:textId="77777777" w:rsidR="00DA7599" w:rsidRPr="00892701" w:rsidRDefault="00DA7599" w:rsidP="00DA7599">
      <w:pPr>
        <w:pStyle w:val="NoSpacing"/>
        <w:jc w:val="both"/>
        <w:rPr>
          <w:color w:val="000000" w:themeColor="text1"/>
          <w:sz w:val="20"/>
          <w:szCs w:val="20"/>
        </w:rPr>
      </w:pPr>
    </w:p>
    <w:p w14:paraId="2AD29CBE" w14:textId="77777777" w:rsidR="00DA7599" w:rsidRPr="00892701" w:rsidRDefault="00DA7599" w:rsidP="00DA7599">
      <w:pPr>
        <w:pStyle w:val="NoSpacing"/>
        <w:shd w:val="clear" w:color="auto" w:fill="DBE5F1" w:themeFill="accent1" w:themeFillTint="33"/>
        <w:jc w:val="both"/>
        <w:rPr>
          <w:rFonts w:ascii="Times New Roman" w:hAnsi="Times New Roman" w:cs="Times New Roman"/>
          <w:color w:val="000000" w:themeColor="text1"/>
          <w:sz w:val="20"/>
          <w:szCs w:val="20"/>
        </w:rPr>
      </w:pPr>
      <w:r w:rsidRPr="00892701">
        <w:rPr>
          <w:rFonts w:ascii="Times New Roman" w:hAnsi="Times New Roman" w:cs="Times New Roman"/>
          <w:b/>
          <w:bCs/>
          <w:color w:val="000000" w:themeColor="text1"/>
          <w:sz w:val="20"/>
          <w:shd w:val="clear" w:color="auto" w:fill="DBE5F1" w:themeFill="accent1" w:themeFillTint="33"/>
        </w:rPr>
        <w:t>Agricultural Relief (AR) and Business Relief (BR)</w:t>
      </w:r>
    </w:p>
    <w:p w14:paraId="6CD3E0D0" w14:textId="77777777" w:rsidR="00DA7599" w:rsidRPr="00892701" w:rsidRDefault="00DA7599" w:rsidP="00DA7599">
      <w:pPr>
        <w:pStyle w:val="NoSpacing"/>
        <w:jc w:val="both"/>
        <w:rPr>
          <w:rFonts w:ascii="Times New Roman" w:hAnsi="Times New Roman" w:cs="Times New Roman"/>
          <w:color w:val="000000" w:themeColor="text1"/>
          <w:sz w:val="20"/>
          <w:szCs w:val="20"/>
        </w:rPr>
      </w:pPr>
    </w:p>
    <w:p w14:paraId="176489D2" w14:textId="231E5F01" w:rsidR="00DA7599" w:rsidRPr="00892701" w:rsidRDefault="00DA7599" w:rsidP="00DA7599">
      <w:pPr>
        <w:pStyle w:val="NoSpacing"/>
        <w:jc w:val="both"/>
        <w:rPr>
          <w:rFonts w:ascii="Times New Roman" w:hAnsi="Times New Roman" w:cs="Times New Roman"/>
          <w:color w:val="000000" w:themeColor="text1"/>
          <w:sz w:val="20"/>
          <w:szCs w:val="20"/>
        </w:rPr>
      </w:pPr>
      <w:r w:rsidRPr="00892701">
        <w:rPr>
          <w:rFonts w:ascii="Times New Roman" w:hAnsi="Times New Roman" w:cs="Times New Roman"/>
          <w:color w:val="000000" w:themeColor="text1"/>
          <w:sz w:val="20"/>
          <w:szCs w:val="20"/>
        </w:rPr>
        <w:t>There will be further changes to the policies for new rules announced last year. The £1 million allowance for the 100% rate of AR and BR will be transferable between spouses and civil partners. The Government will also make changes to the way internationally mobile individuals are taxed, closing loopholes and capping relevant property trust charges payable by certain trusts.</w:t>
      </w:r>
    </w:p>
    <w:p w14:paraId="62A72218" w14:textId="77777777" w:rsidR="00DA7599" w:rsidRPr="00892701" w:rsidRDefault="00DA7599" w:rsidP="00864796">
      <w:pPr>
        <w:pStyle w:val="NoSpacing"/>
        <w:jc w:val="both"/>
        <w:rPr>
          <w:color w:val="000000" w:themeColor="text1"/>
          <w:sz w:val="20"/>
          <w:szCs w:val="20"/>
        </w:rPr>
      </w:pPr>
    </w:p>
    <w:p w14:paraId="044AC422" w14:textId="7A0366A3" w:rsidR="00DA7599" w:rsidRPr="00892701" w:rsidRDefault="00DA7599" w:rsidP="00DA7599">
      <w:pPr>
        <w:pStyle w:val="NoSpacing"/>
        <w:shd w:val="clear" w:color="auto" w:fill="DBE5F1" w:themeFill="accent1" w:themeFillTint="33"/>
        <w:jc w:val="both"/>
        <w:rPr>
          <w:rFonts w:ascii="Times New Roman" w:hAnsi="Times New Roman" w:cs="Times New Roman"/>
          <w:b/>
          <w:color w:val="000000" w:themeColor="text1"/>
          <w:sz w:val="20"/>
        </w:rPr>
      </w:pPr>
      <w:r w:rsidRPr="00892701">
        <w:rPr>
          <w:rFonts w:ascii="Times New Roman" w:hAnsi="Times New Roman" w:cs="Times New Roman"/>
          <w:b/>
          <w:color w:val="000000" w:themeColor="text1"/>
          <w:sz w:val="20"/>
        </w:rPr>
        <w:t xml:space="preserve">Electric </w:t>
      </w:r>
      <w:r w:rsidR="00104E2E">
        <w:rPr>
          <w:rFonts w:ascii="Times New Roman" w:hAnsi="Times New Roman" w:cs="Times New Roman"/>
          <w:b/>
          <w:color w:val="000000" w:themeColor="text1"/>
          <w:sz w:val="20"/>
        </w:rPr>
        <w:t>V</w:t>
      </w:r>
      <w:r w:rsidRPr="00892701">
        <w:rPr>
          <w:rFonts w:ascii="Times New Roman" w:hAnsi="Times New Roman" w:cs="Times New Roman"/>
          <w:b/>
          <w:color w:val="000000" w:themeColor="text1"/>
          <w:sz w:val="20"/>
        </w:rPr>
        <w:t xml:space="preserve">ehicle </w:t>
      </w:r>
      <w:r w:rsidR="00104E2E">
        <w:rPr>
          <w:rFonts w:ascii="Times New Roman" w:hAnsi="Times New Roman" w:cs="Times New Roman"/>
          <w:b/>
          <w:color w:val="000000" w:themeColor="text1"/>
          <w:sz w:val="20"/>
        </w:rPr>
        <w:t>T</w:t>
      </w:r>
      <w:r w:rsidRPr="00892701">
        <w:rPr>
          <w:rFonts w:ascii="Times New Roman" w:hAnsi="Times New Roman" w:cs="Times New Roman"/>
          <w:b/>
          <w:color w:val="000000" w:themeColor="text1"/>
          <w:sz w:val="20"/>
        </w:rPr>
        <w:t>ax</w:t>
      </w:r>
    </w:p>
    <w:p w14:paraId="4352FAA8" w14:textId="77777777" w:rsidR="00DA7599" w:rsidRPr="00892701" w:rsidRDefault="00DA7599" w:rsidP="00DA7599">
      <w:pPr>
        <w:pStyle w:val="NoSpacing"/>
        <w:jc w:val="both"/>
        <w:rPr>
          <w:color w:val="000000" w:themeColor="text1"/>
          <w:sz w:val="20"/>
          <w:szCs w:val="20"/>
        </w:rPr>
      </w:pPr>
    </w:p>
    <w:p w14:paraId="2EAEDC98" w14:textId="77777777" w:rsidR="00DA7599" w:rsidRPr="00892701" w:rsidRDefault="00DA7599" w:rsidP="00DA7599">
      <w:pPr>
        <w:pStyle w:val="NoSpacing"/>
        <w:jc w:val="both"/>
        <w:rPr>
          <w:rFonts w:ascii="Times New Roman" w:hAnsi="Times New Roman" w:cs="Times New Roman"/>
          <w:color w:val="000000" w:themeColor="text1"/>
          <w:sz w:val="20"/>
          <w:szCs w:val="20"/>
        </w:rPr>
      </w:pPr>
      <w:r w:rsidRPr="00892701">
        <w:rPr>
          <w:rFonts w:ascii="Times New Roman" w:hAnsi="Times New Roman" w:cs="Times New Roman"/>
          <w:color w:val="000000" w:themeColor="text1"/>
          <w:sz w:val="20"/>
          <w:szCs w:val="20"/>
        </w:rPr>
        <w:t>From April 2028, electric car drivers will pay a road charge of 3p per mile, while plug-in hybrid drivers will pay 1.5p per mile, with the rates going up each year with inflation.</w:t>
      </w:r>
    </w:p>
    <w:p w14:paraId="05516F9D" w14:textId="77777777" w:rsidR="00DA7599" w:rsidRPr="00892701" w:rsidRDefault="00DA7599" w:rsidP="00DA7599">
      <w:pPr>
        <w:pStyle w:val="NoSpacing"/>
        <w:jc w:val="both"/>
        <w:rPr>
          <w:rFonts w:ascii="Times New Roman" w:hAnsi="Times New Roman" w:cs="Times New Roman"/>
          <w:color w:val="000000" w:themeColor="text1"/>
          <w:sz w:val="20"/>
          <w:szCs w:val="20"/>
        </w:rPr>
      </w:pPr>
    </w:p>
    <w:p w14:paraId="20339CF3" w14:textId="66330C11" w:rsidR="00DA7599" w:rsidRPr="00892701" w:rsidRDefault="00104E2E" w:rsidP="00DA7599">
      <w:pPr>
        <w:pStyle w:val="No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w:t>
      </w:r>
      <w:r w:rsidRPr="00892701">
        <w:rPr>
          <w:rFonts w:ascii="Times New Roman" w:hAnsi="Times New Roman" w:cs="Times New Roman"/>
          <w:color w:val="000000" w:themeColor="text1"/>
          <w:sz w:val="20"/>
          <w:szCs w:val="20"/>
        </w:rPr>
        <w:t xml:space="preserve">ccording to the </w:t>
      </w:r>
      <w:r>
        <w:rPr>
          <w:rFonts w:ascii="Times New Roman" w:hAnsi="Times New Roman" w:cs="Times New Roman"/>
          <w:color w:val="000000" w:themeColor="text1"/>
          <w:sz w:val="20"/>
          <w:szCs w:val="20"/>
        </w:rPr>
        <w:t>G</w:t>
      </w:r>
      <w:r w:rsidRPr="00892701">
        <w:rPr>
          <w:rFonts w:ascii="Times New Roman" w:hAnsi="Times New Roman" w:cs="Times New Roman"/>
          <w:color w:val="000000" w:themeColor="text1"/>
          <w:sz w:val="20"/>
          <w:szCs w:val="20"/>
        </w:rPr>
        <w:t>overnment's independent forecaster, the Office for Budget Responsibility (OBR)</w:t>
      </w:r>
      <w:r>
        <w:rPr>
          <w:rFonts w:ascii="Times New Roman" w:hAnsi="Times New Roman" w:cs="Times New Roman"/>
          <w:color w:val="000000" w:themeColor="text1"/>
          <w:sz w:val="20"/>
          <w:szCs w:val="20"/>
        </w:rPr>
        <w:t>, t</w:t>
      </w:r>
      <w:r w:rsidR="00DA7599" w:rsidRPr="00892701">
        <w:rPr>
          <w:rFonts w:ascii="Times New Roman" w:hAnsi="Times New Roman" w:cs="Times New Roman"/>
          <w:color w:val="000000" w:themeColor="text1"/>
          <w:sz w:val="20"/>
          <w:szCs w:val="20"/>
        </w:rPr>
        <w:t>he new tax is about</w:t>
      </w:r>
      <w:r>
        <w:rPr>
          <w:rFonts w:ascii="Times New Roman" w:hAnsi="Times New Roman" w:cs="Times New Roman"/>
          <w:color w:val="000000" w:themeColor="text1"/>
          <w:sz w:val="20"/>
          <w:szCs w:val="20"/>
        </w:rPr>
        <w:t xml:space="preserve"> </w:t>
      </w:r>
      <w:r w:rsidR="00DA7599" w:rsidRPr="00104E2E">
        <w:rPr>
          <w:rFonts w:ascii="Times New Roman" w:hAnsi="Times New Roman" w:cs="Times New Roman"/>
          <w:color w:val="000000" w:themeColor="text1"/>
          <w:sz w:val="20"/>
          <w:szCs w:val="20"/>
        </w:rPr>
        <w:t>half the fuel duty rate paid by drivers of petrol ca</w:t>
      </w:r>
      <w:r w:rsidRPr="00104E2E">
        <w:rPr>
          <w:rFonts w:ascii="Times New Roman" w:hAnsi="Times New Roman" w:cs="Times New Roman"/>
          <w:color w:val="000000" w:themeColor="text1"/>
          <w:sz w:val="20"/>
          <w:szCs w:val="20"/>
        </w:rPr>
        <w:t>r</w:t>
      </w:r>
      <w:r w:rsidR="00DA7599" w:rsidRPr="00892701">
        <w:rPr>
          <w:rFonts w:ascii="Times New Roman" w:hAnsi="Times New Roman" w:cs="Times New Roman"/>
          <w:color w:val="000000" w:themeColor="text1"/>
          <w:sz w:val="20"/>
          <w:szCs w:val="20"/>
        </w:rPr>
        <w:t>.</w:t>
      </w:r>
    </w:p>
    <w:p w14:paraId="4AE761FD" w14:textId="77777777" w:rsidR="002F3625" w:rsidRPr="00892701" w:rsidRDefault="002F3625" w:rsidP="00864796">
      <w:pPr>
        <w:pStyle w:val="NoSpacing"/>
        <w:jc w:val="both"/>
        <w:rPr>
          <w:color w:val="000000" w:themeColor="text1"/>
          <w:sz w:val="20"/>
          <w:szCs w:val="20"/>
        </w:rPr>
      </w:pPr>
    </w:p>
    <w:p w14:paraId="650C96BA" w14:textId="2D99D53A" w:rsidR="00F41D90" w:rsidRPr="00892701" w:rsidRDefault="00F41D90" w:rsidP="00F41D90">
      <w:pPr>
        <w:pStyle w:val="NoSpacing"/>
        <w:shd w:val="clear" w:color="auto" w:fill="DBE5F1" w:themeFill="accent1" w:themeFillTint="33"/>
        <w:jc w:val="both"/>
        <w:rPr>
          <w:rFonts w:ascii="Times New Roman" w:hAnsi="Times New Roman" w:cs="Times New Roman"/>
          <w:b/>
          <w:color w:val="000000" w:themeColor="text1"/>
          <w:sz w:val="20"/>
        </w:rPr>
      </w:pPr>
      <w:r w:rsidRPr="00892701">
        <w:rPr>
          <w:rFonts w:ascii="Times New Roman" w:hAnsi="Times New Roman" w:cs="Times New Roman"/>
          <w:b/>
          <w:color w:val="000000" w:themeColor="text1"/>
          <w:sz w:val="20"/>
        </w:rPr>
        <w:t xml:space="preserve">National Living </w:t>
      </w:r>
      <w:r w:rsidR="002F3625" w:rsidRPr="00892701">
        <w:rPr>
          <w:rFonts w:ascii="Times New Roman" w:hAnsi="Times New Roman" w:cs="Times New Roman"/>
          <w:b/>
          <w:color w:val="000000" w:themeColor="text1"/>
          <w:sz w:val="20"/>
        </w:rPr>
        <w:t xml:space="preserve">&amp; National </w:t>
      </w:r>
      <w:r w:rsidRPr="00892701">
        <w:rPr>
          <w:rFonts w:ascii="Times New Roman" w:hAnsi="Times New Roman" w:cs="Times New Roman"/>
          <w:b/>
          <w:color w:val="000000" w:themeColor="text1"/>
          <w:sz w:val="20"/>
        </w:rPr>
        <w:t>Minimum Wage</w:t>
      </w:r>
    </w:p>
    <w:p w14:paraId="37B246DC" w14:textId="77777777" w:rsidR="00F41D90" w:rsidRPr="00892701" w:rsidRDefault="00F41D90" w:rsidP="00864796">
      <w:pPr>
        <w:pStyle w:val="NoSpacing"/>
        <w:jc w:val="both"/>
        <w:rPr>
          <w:color w:val="000000" w:themeColor="text1"/>
          <w:sz w:val="20"/>
          <w:szCs w:val="20"/>
        </w:rPr>
      </w:pPr>
    </w:p>
    <w:p w14:paraId="3A0129AC" w14:textId="63E16BE7" w:rsidR="002F3625" w:rsidRPr="00892701" w:rsidRDefault="002F3625" w:rsidP="002F3625">
      <w:pPr>
        <w:pStyle w:val="NoSpacing"/>
        <w:jc w:val="both"/>
        <w:rPr>
          <w:rFonts w:ascii="Times New Roman" w:hAnsi="Times New Roman" w:cs="Times New Roman"/>
          <w:color w:val="000000" w:themeColor="text1"/>
          <w:sz w:val="20"/>
          <w:szCs w:val="20"/>
        </w:rPr>
      </w:pPr>
      <w:r w:rsidRPr="00892701">
        <w:rPr>
          <w:rFonts w:ascii="Times New Roman" w:hAnsi="Times New Roman" w:cs="Times New Roman"/>
          <w:color w:val="000000" w:themeColor="text1"/>
          <w:sz w:val="20"/>
          <w:szCs w:val="20"/>
        </w:rPr>
        <w:t>The National Living Wage is the minimum amount a worker is entitled to be paid if they are 21 or over. It is currently set at £12.21 an hour and is set to rise by 4.1% to £12.71 an hour from next April.</w:t>
      </w:r>
    </w:p>
    <w:p w14:paraId="59A86B66" w14:textId="77777777" w:rsidR="002F3625" w:rsidRPr="00892701" w:rsidRDefault="002F3625" w:rsidP="002F3625">
      <w:pPr>
        <w:pStyle w:val="NoSpacing"/>
        <w:jc w:val="both"/>
        <w:rPr>
          <w:rFonts w:ascii="Times New Roman" w:hAnsi="Times New Roman" w:cs="Times New Roman"/>
          <w:color w:val="000000" w:themeColor="text1"/>
          <w:sz w:val="20"/>
          <w:szCs w:val="20"/>
        </w:rPr>
      </w:pPr>
    </w:p>
    <w:p w14:paraId="3908C964" w14:textId="61CEB8CC" w:rsidR="002F3625" w:rsidRPr="00892701" w:rsidRDefault="002F3625" w:rsidP="002F3625">
      <w:pPr>
        <w:pStyle w:val="NoSpacing"/>
        <w:jc w:val="both"/>
        <w:rPr>
          <w:rFonts w:ascii="Times New Roman" w:hAnsi="Times New Roman" w:cs="Times New Roman"/>
          <w:color w:val="000000" w:themeColor="text1"/>
          <w:sz w:val="20"/>
          <w:szCs w:val="20"/>
        </w:rPr>
      </w:pPr>
      <w:r w:rsidRPr="00892701">
        <w:rPr>
          <w:rFonts w:ascii="Times New Roman" w:hAnsi="Times New Roman" w:cs="Times New Roman"/>
          <w:color w:val="000000" w:themeColor="text1"/>
          <w:sz w:val="20"/>
          <w:szCs w:val="20"/>
        </w:rPr>
        <w:t>The National Minimum Wage is the wage floor for workers aged between school</w:t>
      </w:r>
      <w:r w:rsidR="000A11C8">
        <w:rPr>
          <w:rFonts w:ascii="Times New Roman" w:hAnsi="Times New Roman" w:cs="Times New Roman"/>
          <w:color w:val="000000" w:themeColor="text1"/>
          <w:sz w:val="20"/>
          <w:szCs w:val="20"/>
        </w:rPr>
        <w:t xml:space="preserve"> </w:t>
      </w:r>
      <w:r w:rsidRPr="00892701">
        <w:rPr>
          <w:rFonts w:ascii="Times New Roman" w:hAnsi="Times New Roman" w:cs="Times New Roman"/>
          <w:color w:val="000000" w:themeColor="text1"/>
          <w:sz w:val="20"/>
          <w:szCs w:val="20"/>
        </w:rPr>
        <w:t>leaving age (turning 16) and 20. For those aged 18 to 20 the hourly rate is £10. This will rise by 8.5% to £10.85 an hour. For those under 18 i</w:t>
      </w:r>
      <w:r w:rsidR="00104E2E">
        <w:rPr>
          <w:rFonts w:ascii="Times New Roman" w:hAnsi="Times New Roman" w:cs="Times New Roman"/>
          <w:color w:val="000000" w:themeColor="text1"/>
          <w:sz w:val="20"/>
          <w:szCs w:val="20"/>
        </w:rPr>
        <w:t>t is currently</w:t>
      </w:r>
      <w:r w:rsidRPr="00892701">
        <w:rPr>
          <w:rFonts w:ascii="Times New Roman" w:hAnsi="Times New Roman" w:cs="Times New Roman"/>
          <w:color w:val="000000" w:themeColor="text1"/>
          <w:sz w:val="20"/>
          <w:szCs w:val="20"/>
        </w:rPr>
        <w:t xml:space="preserve"> £7.55, and this will rise by 6% to £8 an hour.</w:t>
      </w:r>
    </w:p>
    <w:p w14:paraId="1120D802" w14:textId="2BBBC3B3" w:rsidR="00DA7599" w:rsidRPr="00892701" w:rsidRDefault="00F41D90" w:rsidP="00DA7599">
      <w:pPr>
        <w:pStyle w:val="NoSpacing"/>
        <w:jc w:val="both"/>
        <w:rPr>
          <w:color w:val="000000" w:themeColor="text1"/>
          <w:sz w:val="20"/>
          <w:szCs w:val="20"/>
        </w:rPr>
      </w:pPr>
      <w:r w:rsidRPr="00892701">
        <w:rPr>
          <w:rFonts w:ascii="Times New Roman" w:hAnsi="Times New Roman" w:cs="Times New Roman"/>
          <w:color w:val="000000" w:themeColor="text1"/>
          <w:sz w:val="20"/>
          <w:szCs w:val="20"/>
        </w:rPr>
        <w:t xml:space="preserve"> </w:t>
      </w:r>
    </w:p>
    <w:p w14:paraId="340B7761" w14:textId="77777777" w:rsidR="00DA7599" w:rsidRPr="00892701" w:rsidRDefault="00DA7599" w:rsidP="00DA7599">
      <w:pPr>
        <w:pStyle w:val="NoSpacing"/>
        <w:shd w:val="clear" w:color="auto" w:fill="DBE5F1" w:themeFill="accent1" w:themeFillTint="33"/>
        <w:jc w:val="both"/>
        <w:rPr>
          <w:rFonts w:ascii="Times New Roman" w:hAnsi="Times New Roman" w:cs="Times New Roman"/>
          <w:b/>
          <w:bCs/>
          <w:color w:val="000000" w:themeColor="text1"/>
          <w:sz w:val="20"/>
        </w:rPr>
      </w:pPr>
      <w:r w:rsidRPr="00892701">
        <w:rPr>
          <w:rFonts w:ascii="Times New Roman" w:hAnsi="Times New Roman" w:cs="Times New Roman"/>
          <w:b/>
          <w:bCs/>
          <w:color w:val="000000" w:themeColor="text1"/>
          <w:sz w:val="20"/>
        </w:rPr>
        <w:t>Venture Capital Trusts (VCTs)</w:t>
      </w:r>
    </w:p>
    <w:p w14:paraId="36EF95FC" w14:textId="77777777" w:rsidR="00DA7599" w:rsidRPr="00892701" w:rsidRDefault="00DA7599" w:rsidP="00DA7599">
      <w:pPr>
        <w:pStyle w:val="NoSpacing"/>
        <w:jc w:val="both"/>
        <w:rPr>
          <w:rFonts w:ascii="Times New Roman" w:hAnsi="Times New Roman" w:cs="Times New Roman"/>
          <w:color w:val="000000" w:themeColor="text1"/>
          <w:sz w:val="20"/>
          <w:szCs w:val="20"/>
        </w:rPr>
      </w:pPr>
    </w:p>
    <w:p w14:paraId="2059C4E8" w14:textId="77777777" w:rsidR="00DA7599" w:rsidRPr="00892701" w:rsidRDefault="00DA7599" w:rsidP="00DA7599">
      <w:pPr>
        <w:pStyle w:val="NoSpacing"/>
        <w:jc w:val="both"/>
        <w:rPr>
          <w:color w:val="000000" w:themeColor="text1"/>
          <w:sz w:val="20"/>
          <w:szCs w:val="20"/>
        </w:rPr>
      </w:pPr>
      <w:r w:rsidRPr="00892701">
        <w:rPr>
          <w:rFonts w:ascii="Times New Roman" w:hAnsi="Times New Roman" w:cs="Times New Roman"/>
          <w:color w:val="000000" w:themeColor="text1"/>
          <w:sz w:val="20"/>
          <w:szCs w:val="20"/>
        </w:rPr>
        <w:t>Investors in VCT schemes will see upfront Income Tax relief reduce from 30% to 20% from April 2026.</w:t>
      </w:r>
    </w:p>
    <w:p w14:paraId="3A84BBAE" w14:textId="77777777" w:rsidR="00DA7599" w:rsidRPr="00892701" w:rsidRDefault="00DA7599" w:rsidP="0091638B">
      <w:pPr>
        <w:pStyle w:val="NoSpacing"/>
        <w:jc w:val="both"/>
        <w:rPr>
          <w:color w:val="000000" w:themeColor="text1"/>
          <w:sz w:val="20"/>
          <w:szCs w:val="20"/>
        </w:rPr>
      </w:pPr>
    </w:p>
    <w:p w14:paraId="28ED77E5" w14:textId="213EA993" w:rsidR="0091638B" w:rsidRPr="00892701" w:rsidRDefault="0091638B" w:rsidP="0091638B">
      <w:pPr>
        <w:pStyle w:val="NoSpacing"/>
        <w:shd w:val="clear" w:color="auto" w:fill="DBE5F1" w:themeFill="accent1" w:themeFillTint="33"/>
        <w:jc w:val="both"/>
        <w:rPr>
          <w:rFonts w:ascii="Times New Roman" w:hAnsi="Times New Roman" w:cs="Times New Roman"/>
          <w:b/>
          <w:bCs/>
          <w:color w:val="000000" w:themeColor="text1"/>
          <w:sz w:val="20"/>
        </w:rPr>
      </w:pPr>
      <w:r w:rsidRPr="00892701">
        <w:rPr>
          <w:rFonts w:ascii="Times New Roman" w:hAnsi="Times New Roman" w:cs="Times New Roman"/>
          <w:b/>
          <w:bCs/>
          <w:color w:val="000000" w:themeColor="text1"/>
          <w:sz w:val="20"/>
        </w:rPr>
        <w:t xml:space="preserve">Income Tax </w:t>
      </w:r>
      <w:r w:rsidR="00104E2E">
        <w:rPr>
          <w:rFonts w:ascii="Times New Roman" w:hAnsi="Times New Roman" w:cs="Times New Roman"/>
          <w:b/>
          <w:bCs/>
          <w:color w:val="000000" w:themeColor="text1"/>
          <w:sz w:val="20"/>
        </w:rPr>
        <w:t>O</w:t>
      </w:r>
      <w:r w:rsidRPr="00892701">
        <w:rPr>
          <w:rFonts w:ascii="Times New Roman" w:hAnsi="Times New Roman" w:cs="Times New Roman"/>
          <w:b/>
          <w:bCs/>
          <w:color w:val="000000" w:themeColor="text1"/>
          <w:sz w:val="20"/>
        </w:rPr>
        <w:t xml:space="preserve">rdering </w:t>
      </w:r>
      <w:r w:rsidR="00104E2E">
        <w:rPr>
          <w:rFonts w:ascii="Times New Roman" w:hAnsi="Times New Roman" w:cs="Times New Roman"/>
          <w:b/>
          <w:bCs/>
          <w:color w:val="000000" w:themeColor="text1"/>
          <w:sz w:val="20"/>
        </w:rPr>
        <w:t>R</w:t>
      </w:r>
      <w:r w:rsidRPr="00892701">
        <w:rPr>
          <w:rFonts w:ascii="Times New Roman" w:hAnsi="Times New Roman" w:cs="Times New Roman"/>
          <w:b/>
          <w:bCs/>
          <w:color w:val="000000" w:themeColor="text1"/>
          <w:sz w:val="20"/>
        </w:rPr>
        <w:t>ules</w:t>
      </w:r>
    </w:p>
    <w:p w14:paraId="391D6223" w14:textId="77777777" w:rsidR="0091638B" w:rsidRPr="00892701" w:rsidRDefault="0091638B" w:rsidP="0091638B">
      <w:pPr>
        <w:pStyle w:val="NoSpacing"/>
        <w:jc w:val="both"/>
        <w:rPr>
          <w:rFonts w:ascii="Times New Roman" w:hAnsi="Times New Roman" w:cs="Times New Roman"/>
          <w:color w:val="000000" w:themeColor="text1"/>
          <w:sz w:val="20"/>
          <w:szCs w:val="20"/>
        </w:rPr>
      </w:pPr>
    </w:p>
    <w:p w14:paraId="43E80ED7" w14:textId="54E34AE7" w:rsidR="0091638B" w:rsidRPr="00892701" w:rsidRDefault="0091638B" w:rsidP="0091638B">
      <w:pPr>
        <w:pStyle w:val="NoSpacing"/>
        <w:jc w:val="both"/>
        <w:rPr>
          <w:color w:val="000000" w:themeColor="text1"/>
          <w:sz w:val="20"/>
          <w:szCs w:val="20"/>
        </w:rPr>
      </w:pPr>
      <w:r w:rsidRPr="00892701">
        <w:rPr>
          <w:rFonts w:ascii="Times New Roman" w:hAnsi="Times New Roman" w:cs="Times New Roman"/>
          <w:color w:val="000000" w:themeColor="text1"/>
          <w:sz w:val="20"/>
          <w:szCs w:val="20"/>
        </w:rPr>
        <w:t>From April 2027 the income tax ordering rules will change meaning that the personal allowance must be set against earned income and pensions before dividend income, savings income and property income.</w:t>
      </w:r>
    </w:p>
    <w:p w14:paraId="53F0CAA0" w14:textId="77777777" w:rsidR="00D40F7D" w:rsidRDefault="00D40F7D" w:rsidP="00864796">
      <w:pPr>
        <w:pStyle w:val="NoSpacing"/>
        <w:jc w:val="both"/>
        <w:rPr>
          <w:color w:val="000000" w:themeColor="text1"/>
          <w:sz w:val="20"/>
          <w:szCs w:val="20"/>
        </w:rPr>
      </w:pPr>
    </w:p>
    <w:p w14:paraId="1DF31D85" w14:textId="77777777" w:rsidR="00892701" w:rsidRPr="00500A11" w:rsidRDefault="00892701" w:rsidP="00864796">
      <w:pPr>
        <w:pStyle w:val="NoSpacing"/>
        <w:jc w:val="both"/>
        <w:rPr>
          <w:color w:val="000000" w:themeColor="text1"/>
          <w:sz w:val="20"/>
          <w:szCs w:val="20"/>
        </w:rPr>
      </w:pPr>
    </w:p>
    <w:tbl>
      <w:tblPr>
        <w:tblStyle w:val="TableGrid"/>
        <w:tblW w:w="0" w:type="auto"/>
        <w:tblLook w:val="04A0" w:firstRow="1" w:lastRow="0" w:firstColumn="1" w:lastColumn="0" w:noHBand="0" w:noVBand="1"/>
      </w:tblPr>
      <w:tblGrid>
        <w:gridCol w:w="9016"/>
      </w:tblGrid>
      <w:tr w:rsidR="00A12889" w14:paraId="16BD4E19" w14:textId="77777777" w:rsidTr="003B0D1B">
        <w:tc>
          <w:tcPr>
            <w:tcW w:w="9016" w:type="dxa"/>
            <w:shd w:val="clear" w:color="auto" w:fill="336699"/>
          </w:tcPr>
          <w:p w14:paraId="5014A996" w14:textId="77777777" w:rsidR="00A12889" w:rsidRPr="00051A6B" w:rsidRDefault="00A12889" w:rsidP="00A12889">
            <w:pPr>
              <w:pStyle w:val="NoSpacing"/>
              <w:jc w:val="both"/>
              <w:rPr>
                <w:rFonts w:ascii="Times New Roman" w:hAnsi="Times New Roman" w:cs="Times New Roman"/>
                <w:b/>
                <w:i/>
                <w:color w:val="FFFFFF" w:themeColor="background1"/>
                <w:sz w:val="12"/>
                <w:szCs w:val="12"/>
                <w:lang w:val="en-US"/>
              </w:rPr>
            </w:pPr>
          </w:p>
          <w:p w14:paraId="43BACDA3" w14:textId="12BCD8A6" w:rsidR="00A12889" w:rsidRPr="00337119" w:rsidRDefault="00A12889" w:rsidP="00A12889">
            <w:pPr>
              <w:pStyle w:val="NoSpacing"/>
              <w:jc w:val="both"/>
              <w:rPr>
                <w:rFonts w:ascii="Times New Roman" w:hAnsi="Times New Roman" w:cs="Times New Roman"/>
                <w:b/>
                <w:i/>
                <w:color w:val="FFFFFF" w:themeColor="background1"/>
                <w:sz w:val="20"/>
                <w:lang w:val="en-US"/>
              </w:rPr>
            </w:pPr>
            <w:r w:rsidRPr="00337119">
              <w:rPr>
                <w:rFonts w:ascii="Times New Roman" w:hAnsi="Times New Roman" w:cs="Times New Roman"/>
                <w:b/>
                <w:i/>
                <w:color w:val="FFFFFF" w:themeColor="background1"/>
                <w:sz w:val="20"/>
                <w:lang w:val="en-US"/>
              </w:rPr>
              <w:t>This summary is issued for the information of our clients. It provides an overview of the main proposals announced by the Chancel</w:t>
            </w:r>
            <w:r>
              <w:rPr>
                <w:rFonts w:ascii="Times New Roman" w:hAnsi="Times New Roman" w:cs="Times New Roman"/>
                <w:b/>
                <w:i/>
                <w:color w:val="FFFFFF" w:themeColor="background1"/>
                <w:sz w:val="20"/>
                <w:lang w:val="en-US"/>
              </w:rPr>
              <w:t>lor of the Exchequer in h</w:t>
            </w:r>
            <w:r w:rsidR="00D639EA">
              <w:rPr>
                <w:rFonts w:ascii="Times New Roman" w:hAnsi="Times New Roman" w:cs="Times New Roman"/>
                <w:b/>
                <w:i/>
                <w:color w:val="FFFFFF" w:themeColor="background1"/>
                <w:sz w:val="20"/>
                <w:lang w:val="en-US"/>
              </w:rPr>
              <w:t>er</w:t>
            </w:r>
            <w:r>
              <w:rPr>
                <w:rFonts w:ascii="Times New Roman" w:hAnsi="Times New Roman" w:cs="Times New Roman"/>
                <w:b/>
                <w:i/>
                <w:color w:val="FFFFFF" w:themeColor="background1"/>
                <w:sz w:val="20"/>
                <w:lang w:val="en-US"/>
              </w:rPr>
              <w:t xml:space="preserve"> </w:t>
            </w:r>
            <w:r w:rsidR="00D639EA">
              <w:rPr>
                <w:rFonts w:ascii="Times New Roman" w:hAnsi="Times New Roman" w:cs="Times New Roman"/>
                <w:b/>
                <w:i/>
                <w:color w:val="FFFFFF" w:themeColor="background1"/>
                <w:sz w:val="20"/>
                <w:lang w:val="en-US"/>
              </w:rPr>
              <w:t>Autumn 202</w:t>
            </w:r>
            <w:r w:rsidR="00892701">
              <w:rPr>
                <w:rFonts w:ascii="Times New Roman" w:hAnsi="Times New Roman" w:cs="Times New Roman"/>
                <w:b/>
                <w:i/>
                <w:color w:val="FFFFFF" w:themeColor="background1"/>
                <w:sz w:val="20"/>
                <w:lang w:val="en-US"/>
              </w:rPr>
              <w:t>5</w:t>
            </w:r>
            <w:r w:rsidR="00207263">
              <w:rPr>
                <w:rFonts w:ascii="Times New Roman" w:hAnsi="Times New Roman" w:cs="Times New Roman"/>
                <w:b/>
                <w:i/>
                <w:color w:val="FFFFFF" w:themeColor="background1"/>
                <w:sz w:val="20"/>
                <w:lang w:val="en-US"/>
              </w:rPr>
              <w:t xml:space="preserve"> </w:t>
            </w:r>
            <w:r w:rsidRPr="00337119">
              <w:rPr>
                <w:rFonts w:ascii="Times New Roman" w:hAnsi="Times New Roman" w:cs="Times New Roman"/>
                <w:b/>
                <w:i/>
                <w:color w:val="FFFFFF" w:themeColor="background1"/>
                <w:sz w:val="20"/>
                <w:lang w:val="en-US"/>
              </w:rPr>
              <w:t xml:space="preserve">Budget Statement, and no action should be taken without consulting the detailed legislation or seeking professional advice. </w:t>
            </w:r>
          </w:p>
          <w:p w14:paraId="706FC080" w14:textId="77777777" w:rsidR="00A12889" w:rsidRPr="00051A6B" w:rsidRDefault="00A12889" w:rsidP="00A12889">
            <w:pPr>
              <w:pStyle w:val="NoSpacing"/>
              <w:jc w:val="both"/>
              <w:rPr>
                <w:rFonts w:ascii="Times New Roman" w:hAnsi="Times New Roman" w:cs="Times New Roman"/>
                <w:b/>
                <w:i/>
                <w:color w:val="FFFFFF" w:themeColor="background1"/>
                <w:sz w:val="12"/>
                <w:szCs w:val="12"/>
                <w:lang w:val="en-US"/>
              </w:rPr>
            </w:pPr>
          </w:p>
          <w:p w14:paraId="0A38E9FC" w14:textId="06465E03" w:rsidR="00A12889" w:rsidRPr="00337119" w:rsidRDefault="00A12889" w:rsidP="00A12889">
            <w:pPr>
              <w:pStyle w:val="NoSpacing"/>
              <w:jc w:val="both"/>
              <w:rPr>
                <w:rFonts w:ascii="Times New Roman" w:hAnsi="Times New Roman" w:cs="Times New Roman"/>
                <w:b/>
                <w:i/>
                <w:color w:val="FFFFFF" w:themeColor="background1"/>
                <w:sz w:val="20"/>
                <w:lang w:val="en-US"/>
              </w:rPr>
            </w:pPr>
            <w:r w:rsidRPr="00337119">
              <w:rPr>
                <w:rFonts w:ascii="Times New Roman" w:hAnsi="Times New Roman" w:cs="Times New Roman"/>
                <w:b/>
                <w:i/>
                <w:color w:val="FFFFFF" w:themeColor="background1"/>
                <w:sz w:val="20"/>
                <w:lang w:val="en-US"/>
              </w:rPr>
              <w:t>Therefore</w:t>
            </w:r>
            <w:r w:rsidR="007C07A3">
              <w:rPr>
                <w:rFonts w:ascii="Times New Roman" w:hAnsi="Times New Roman" w:cs="Times New Roman"/>
                <w:b/>
                <w:i/>
                <w:color w:val="FFFFFF" w:themeColor="background1"/>
                <w:sz w:val="20"/>
                <w:lang w:val="en-US"/>
              </w:rPr>
              <w:t>,</w:t>
            </w:r>
            <w:r w:rsidRPr="00337119">
              <w:rPr>
                <w:rFonts w:ascii="Times New Roman" w:hAnsi="Times New Roman" w:cs="Times New Roman"/>
                <w:b/>
                <w:i/>
                <w:color w:val="FFFFFF" w:themeColor="background1"/>
                <w:sz w:val="20"/>
                <w:lang w:val="en-US"/>
              </w:rPr>
              <w:t xml:space="preserve"> no responsibility for loss occasioned by any person acting or refraining from act</w:t>
            </w:r>
            <w:r w:rsidR="00F41D90">
              <w:rPr>
                <w:rFonts w:ascii="Times New Roman" w:hAnsi="Times New Roman" w:cs="Times New Roman"/>
                <w:b/>
                <w:i/>
                <w:color w:val="FFFFFF" w:themeColor="background1"/>
                <w:sz w:val="20"/>
                <w:lang w:val="en-US"/>
              </w:rPr>
              <w:t>ing</w:t>
            </w:r>
            <w:r w:rsidRPr="00337119">
              <w:rPr>
                <w:rFonts w:ascii="Times New Roman" w:hAnsi="Times New Roman" w:cs="Times New Roman"/>
                <w:b/>
                <w:i/>
                <w:color w:val="FFFFFF" w:themeColor="background1"/>
                <w:sz w:val="20"/>
                <w:lang w:val="en-US"/>
              </w:rPr>
              <w:t xml:space="preserve"> as a result of the material contained in this summary can be accepted by Sandle Nash Limited.</w:t>
            </w:r>
          </w:p>
          <w:p w14:paraId="44752936" w14:textId="77777777" w:rsidR="00A12889" w:rsidRPr="00051A6B" w:rsidRDefault="00A12889" w:rsidP="00A12889">
            <w:pPr>
              <w:pStyle w:val="NoSpacing"/>
              <w:jc w:val="both"/>
              <w:rPr>
                <w:rFonts w:ascii="Times New Roman" w:hAnsi="Times New Roman" w:cs="Times New Roman"/>
                <w:b/>
                <w:i/>
                <w:color w:val="FFFFFF" w:themeColor="background1"/>
                <w:sz w:val="12"/>
                <w:szCs w:val="12"/>
              </w:rPr>
            </w:pPr>
          </w:p>
          <w:p w14:paraId="5DBACD17" w14:textId="77777777" w:rsidR="00A12889" w:rsidRPr="00337119" w:rsidRDefault="00A12889" w:rsidP="00A12889">
            <w:pPr>
              <w:pStyle w:val="NoSpacing"/>
              <w:jc w:val="both"/>
              <w:rPr>
                <w:rFonts w:ascii="Times New Roman" w:hAnsi="Times New Roman" w:cs="Times New Roman"/>
                <w:b/>
                <w:i/>
                <w:color w:val="FFFFFF" w:themeColor="background1"/>
                <w:sz w:val="20"/>
              </w:rPr>
            </w:pPr>
            <w:r w:rsidRPr="00337119">
              <w:rPr>
                <w:rFonts w:ascii="Times New Roman" w:hAnsi="Times New Roman" w:cs="Times New Roman"/>
                <w:b/>
                <w:i/>
                <w:color w:val="FFFFFF" w:themeColor="background1"/>
                <w:sz w:val="20"/>
              </w:rPr>
              <w:t>The Budget proposals may be subject to amendment in a Finance Act.</w:t>
            </w:r>
          </w:p>
          <w:p w14:paraId="625AC857" w14:textId="77777777" w:rsidR="00A12889" w:rsidRPr="00051A6B" w:rsidRDefault="00A12889" w:rsidP="00A12889">
            <w:pPr>
              <w:pStyle w:val="NoSpacing"/>
              <w:jc w:val="both"/>
              <w:rPr>
                <w:rFonts w:ascii="Times New Roman" w:hAnsi="Times New Roman" w:cs="Times New Roman"/>
                <w:b/>
                <w:i/>
                <w:color w:val="FFFFFF" w:themeColor="background1"/>
                <w:sz w:val="12"/>
                <w:szCs w:val="12"/>
              </w:rPr>
            </w:pPr>
          </w:p>
          <w:p w14:paraId="4FC49B67" w14:textId="77777777" w:rsidR="00A12889" w:rsidRPr="00337119" w:rsidRDefault="00A12889" w:rsidP="00A12889">
            <w:pPr>
              <w:pStyle w:val="NoSpacing"/>
              <w:jc w:val="both"/>
              <w:rPr>
                <w:rFonts w:ascii="Times New Roman" w:hAnsi="Times New Roman" w:cs="Times New Roman"/>
                <w:b/>
                <w:i/>
                <w:color w:val="FFFFFF" w:themeColor="background1"/>
                <w:sz w:val="20"/>
              </w:rPr>
            </w:pPr>
            <w:r w:rsidRPr="00337119">
              <w:rPr>
                <w:rFonts w:ascii="Times New Roman" w:hAnsi="Times New Roman" w:cs="Times New Roman"/>
                <w:b/>
                <w:i/>
                <w:color w:val="FFFFFF" w:themeColor="background1"/>
                <w:sz w:val="20"/>
              </w:rPr>
              <w:t>Clients should contact us before taking any action as a result of the contents of this summary.</w:t>
            </w:r>
          </w:p>
          <w:p w14:paraId="448AAA8A" w14:textId="77777777" w:rsidR="00A12889" w:rsidRPr="00051A6B" w:rsidRDefault="00A12889" w:rsidP="00A12889">
            <w:pPr>
              <w:pStyle w:val="NoSpacing"/>
              <w:jc w:val="both"/>
              <w:rPr>
                <w:rFonts w:ascii="Times New Roman" w:hAnsi="Times New Roman" w:cs="Times New Roman"/>
                <w:b/>
                <w:i/>
                <w:sz w:val="8"/>
                <w:szCs w:val="8"/>
              </w:rPr>
            </w:pPr>
          </w:p>
        </w:tc>
      </w:tr>
    </w:tbl>
    <w:p w14:paraId="720B35D8" w14:textId="77777777" w:rsidR="00892701" w:rsidRDefault="00892701" w:rsidP="00EB7630">
      <w:pPr>
        <w:pStyle w:val="NoSpacing"/>
        <w:jc w:val="center"/>
        <w:rPr>
          <w:rFonts w:ascii="Times New Roman" w:hAnsi="Times New Roman" w:cs="Times New Roman"/>
          <w:b/>
          <w:color w:val="336699"/>
          <w:lang w:val="en" w:eastAsia="en-GB"/>
        </w:rPr>
      </w:pPr>
    </w:p>
    <w:p w14:paraId="6AF1BFE3" w14:textId="12C03057" w:rsidR="00EB7630" w:rsidRPr="00EB7630" w:rsidRDefault="00A12889" w:rsidP="00EB7630">
      <w:pPr>
        <w:pStyle w:val="NoSpacing"/>
        <w:jc w:val="center"/>
        <w:rPr>
          <w:rFonts w:ascii="Times New Roman" w:hAnsi="Times New Roman" w:cs="Times New Roman"/>
          <w:b/>
          <w:lang w:val="en" w:eastAsia="en-GB"/>
        </w:rPr>
      </w:pPr>
      <w:r w:rsidRPr="00020EBD">
        <w:rPr>
          <w:rFonts w:ascii="Times New Roman" w:hAnsi="Times New Roman" w:cs="Times New Roman"/>
          <w:b/>
          <w:color w:val="336699"/>
          <w:lang w:val="en" w:eastAsia="en-GB"/>
        </w:rPr>
        <w:lastRenderedPageBreak/>
        <w:t>Ap</w:t>
      </w:r>
      <w:r w:rsidR="00F51AFB" w:rsidRPr="00020EBD">
        <w:rPr>
          <w:rFonts w:ascii="Times New Roman" w:hAnsi="Times New Roman" w:cs="Times New Roman"/>
          <w:b/>
          <w:color w:val="336699"/>
          <w:lang w:val="en" w:eastAsia="en-GB"/>
        </w:rPr>
        <w:t>pendix</w:t>
      </w:r>
      <w:r w:rsidR="00033C5F" w:rsidRPr="00020EBD">
        <w:rPr>
          <w:rFonts w:ascii="Times New Roman" w:hAnsi="Times New Roman" w:cs="Times New Roman"/>
          <w:b/>
          <w:color w:val="336699"/>
          <w:lang w:val="en" w:eastAsia="en-GB"/>
        </w:rPr>
        <w:t xml:space="preserve"> </w:t>
      </w:r>
      <w:r w:rsidR="00CA5E15" w:rsidRPr="00020EBD">
        <w:rPr>
          <w:rFonts w:ascii="Times New Roman" w:hAnsi="Times New Roman" w:cs="Times New Roman"/>
          <w:b/>
          <w:color w:val="336699"/>
          <w:lang w:val="en" w:eastAsia="en-GB"/>
        </w:rPr>
        <w:t>-</w:t>
      </w:r>
      <w:r w:rsidR="00033C5F" w:rsidRPr="00020EBD">
        <w:rPr>
          <w:rFonts w:ascii="Times New Roman" w:hAnsi="Times New Roman" w:cs="Times New Roman"/>
          <w:b/>
          <w:color w:val="336699"/>
          <w:lang w:val="en" w:eastAsia="en-GB"/>
        </w:rPr>
        <w:t xml:space="preserve"> </w:t>
      </w:r>
      <w:r w:rsidR="00CA5E15" w:rsidRPr="00020EBD">
        <w:rPr>
          <w:rFonts w:ascii="Times New Roman" w:hAnsi="Times New Roman" w:cs="Times New Roman"/>
          <w:b/>
          <w:color w:val="336699"/>
          <w:lang w:val="en" w:eastAsia="en-GB"/>
        </w:rPr>
        <w:t>Tax Table</w:t>
      </w:r>
      <w:r w:rsidR="00EB7630" w:rsidRPr="00020EBD">
        <w:rPr>
          <w:rFonts w:ascii="Times New Roman" w:hAnsi="Times New Roman" w:cs="Times New Roman"/>
          <w:b/>
          <w:color w:val="336699"/>
          <w:lang w:val="en" w:eastAsia="en-GB"/>
        </w:rPr>
        <w:t xml:space="preserve"> (selected rates)</w:t>
      </w:r>
    </w:p>
    <w:p w14:paraId="64DDC6BA" w14:textId="77777777" w:rsidR="000E44BE" w:rsidRPr="00D40F7D" w:rsidRDefault="000E44BE" w:rsidP="00500A11">
      <w:pPr>
        <w:pStyle w:val="NoSpacing"/>
        <w:rPr>
          <w:rFonts w:ascii="Times New Roman" w:hAnsi="Times New Roman" w:cs="Times New Roman"/>
          <w:bCs/>
          <w:color w:val="336699"/>
          <w:sz w:val="16"/>
          <w:szCs w:val="16"/>
          <w:lang w:val="en" w:eastAsia="en-GB"/>
        </w:rPr>
      </w:pPr>
    </w:p>
    <w:tbl>
      <w:tblPr>
        <w:tblStyle w:val="TableGrid"/>
        <w:tblW w:w="10632" w:type="dxa"/>
        <w:tblInd w:w="-714" w:type="dxa"/>
        <w:tblLook w:val="04A0" w:firstRow="1" w:lastRow="0" w:firstColumn="1" w:lastColumn="0" w:noHBand="0" w:noVBand="1"/>
      </w:tblPr>
      <w:tblGrid>
        <w:gridCol w:w="2977"/>
        <w:gridCol w:w="2977"/>
        <w:gridCol w:w="2977"/>
        <w:gridCol w:w="1701"/>
      </w:tblGrid>
      <w:tr w:rsidR="001A425F" w14:paraId="01A1EC3E" w14:textId="77777777" w:rsidTr="00020EBD">
        <w:tc>
          <w:tcPr>
            <w:tcW w:w="2977" w:type="dxa"/>
          </w:tcPr>
          <w:p w14:paraId="0A0C33C6" w14:textId="77777777" w:rsidR="001A425F" w:rsidRPr="00EB7630" w:rsidRDefault="001A425F" w:rsidP="001A425F">
            <w:pPr>
              <w:pStyle w:val="NoSpacing"/>
              <w:jc w:val="center"/>
              <w:rPr>
                <w:rFonts w:ascii="Times New Roman" w:hAnsi="Times New Roman" w:cs="Times New Roman"/>
                <w:bCs/>
                <w:color w:val="336699"/>
                <w:sz w:val="20"/>
                <w:szCs w:val="20"/>
                <w:lang w:val="en" w:eastAsia="en-GB"/>
              </w:rPr>
            </w:pPr>
          </w:p>
        </w:tc>
        <w:tc>
          <w:tcPr>
            <w:tcW w:w="2977" w:type="dxa"/>
            <w:shd w:val="clear" w:color="auto" w:fill="DBE5F1" w:themeFill="accent1" w:themeFillTint="33"/>
          </w:tcPr>
          <w:p w14:paraId="0FFC99B5" w14:textId="77777777" w:rsidR="00104E2E" w:rsidRPr="00104E2E" w:rsidRDefault="00104E2E" w:rsidP="00731752">
            <w:pPr>
              <w:pStyle w:val="NoSpacing"/>
              <w:jc w:val="center"/>
              <w:rPr>
                <w:rStyle w:val="Strong"/>
                <w:rFonts w:ascii="Times New Roman" w:hAnsi="Times New Roman" w:cs="Times New Roman"/>
                <w:spacing w:val="5"/>
                <w:sz w:val="10"/>
                <w:szCs w:val="10"/>
                <w:bdr w:val="none" w:sz="0" w:space="0" w:color="auto" w:frame="1"/>
              </w:rPr>
            </w:pPr>
          </w:p>
          <w:p w14:paraId="112AE6A2" w14:textId="63FD85A3" w:rsidR="001A425F" w:rsidRPr="00731752" w:rsidRDefault="00B9178E" w:rsidP="00731752">
            <w:pPr>
              <w:pStyle w:val="NoSpacing"/>
              <w:jc w:val="center"/>
              <w:rPr>
                <w:rFonts w:ascii="Times New Roman" w:hAnsi="Times New Roman" w:cs="Times New Roman"/>
                <w:bCs/>
                <w:sz w:val="20"/>
                <w:szCs w:val="20"/>
                <w:lang w:val="en" w:eastAsia="en-GB"/>
              </w:rPr>
            </w:pPr>
            <w:r w:rsidRPr="00731752">
              <w:rPr>
                <w:rStyle w:val="Strong"/>
                <w:rFonts w:ascii="Times New Roman" w:hAnsi="Times New Roman" w:cs="Times New Roman"/>
                <w:spacing w:val="5"/>
                <w:sz w:val="20"/>
                <w:szCs w:val="20"/>
                <w:bdr w:val="none" w:sz="0" w:space="0" w:color="auto" w:frame="1"/>
              </w:rPr>
              <w:t>2025 - 2026</w:t>
            </w:r>
            <w:r w:rsidRPr="00731752">
              <w:rPr>
                <w:rFonts w:ascii="Times New Roman" w:hAnsi="Times New Roman" w:cs="Times New Roman"/>
                <w:spacing w:val="5"/>
                <w:sz w:val="20"/>
                <w:szCs w:val="20"/>
              </w:rPr>
              <w:t> </w:t>
            </w:r>
            <w:r w:rsidRPr="00731752">
              <w:rPr>
                <w:rStyle w:val="Strong"/>
                <w:rFonts w:ascii="Times New Roman" w:hAnsi="Times New Roman" w:cs="Times New Roman"/>
                <w:spacing w:val="5"/>
                <w:sz w:val="20"/>
                <w:szCs w:val="20"/>
                <w:bdr w:val="none" w:sz="0" w:space="0" w:color="auto" w:frame="1"/>
              </w:rPr>
              <w:t>tax year</w:t>
            </w:r>
          </w:p>
        </w:tc>
        <w:tc>
          <w:tcPr>
            <w:tcW w:w="2977" w:type="dxa"/>
            <w:shd w:val="clear" w:color="auto" w:fill="DBE5F1" w:themeFill="accent1" w:themeFillTint="33"/>
          </w:tcPr>
          <w:p w14:paraId="11E95F77" w14:textId="77777777" w:rsidR="00104E2E" w:rsidRPr="00104E2E" w:rsidRDefault="00104E2E" w:rsidP="00731752">
            <w:pPr>
              <w:pStyle w:val="NoSpacing"/>
              <w:jc w:val="center"/>
              <w:rPr>
                <w:rStyle w:val="Strong"/>
                <w:rFonts w:ascii="Times New Roman" w:hAnsi="Times New Roman" w:cs="Times New Roman"/>
                <w:spacing w:val="5"/>
                <w:sz w:val="10"/>
                <w:szCs w:val="10"/>
                <w:bdr w:val="none" w:sz="0" w:space="0" w:color="auto" w:frame="1"/>
              </w:rPr>
            </w:pPr>
          </w:p>
          <w:p w14:paraId="35DE9511" w14:textId="68A15FE9" w:rsidR="001A425F" w:rsidRPr="00731752" w:rsidRDefault="001A425F" w:rsidP="00731752">
            <w:pPr>
              <w:pStyle w:val="NoSpacing"/>
              <w:jc w:val="center"/>
              <w:rPr>
                <w:rFonts w:ascii="Times New Roman" w:hAnsi="Times New Roman" w:cs="Times New Roman"/>
                <w:bCs/>
                <w:sz w:val="20"/>
                <w:szCs w:val="20"/>
                <w:lang w:val="en" w:eastAsia="en-GB"/>
              </w:rPr>
            </w:pPr>
            <w:r w:rsidRPr="00731752">
              <w:rPr>
                <w:rStyle w:val="Strong"/>
                <w:rFonts w:ascii="Times New Roman" w:hAnsi="Times New Roman" w:cs="Times New Roman"/>
                <w:spacing w:val="5"/>
                <w:sz w:val="20"/>
                <w:szCs w:val="20"/>
                <w:bdr w:val="none" w:sz="0" w:space="0" w:color="auto" w:frame="1"/>
              </w:rPr>
              <w:t>202</w:t>
            </w:r>
            <w:r w:rsidR="00B9178E">
              <w:rPr>
                <w:rStyle w:val="Strong"/>
                <w:rFonts w:ascii="Times New Roman" w:hAnsi="Times New Roman" w:cs="Times New Roman"/>
                <w:spacing w:val="5"/>
                <w:sz w:val="20"/>
                <w:szCs w:val="20"/>
                <w:bdr w:val="none" w:sz="0" w:space="0" w:color="auto" w:frame="1"/>
              </w:rPr>
              <w:t>6</w:t>
            </w:r>
            <w:r w:rsidRPr="00731752">
              <w:rPr>
                <w:rStyle w:val="Strong"/>
                <w:rFonts w:ascii="Times New Roman" w:hAnsi="Times New Roman" w:cs="Times New Roman"/>
                <w:spacing w:val="5"/>
                <w:sz w:val="20"/>
                <w:szCs w:val="20"/>
                <w:bdr w:val="none" w:sz="0" w:space="0" w:color="auto" w:frame="1"/>
              </w:rPr>
              <w:t xml:space="preserve"> - 202</w:t>
            </w:r>
            <w:r w:rsidR="00B9178E">
              <w:rPr>
                <w:rStyle w:val="Strong"/>
                <w:rFonts w:ascii="Times New Roman" w:hAnsi="Times New Roman" w:cs="Times New Roman"/>
                <w:spacing w:val="5"/>
                <w:sz w:val="20"/>
                <w:szCs w:val="20"/>
                <w:bdr w:val="none" w:sz="0" w:space="0" w:color="auto" w:frame="1"/>
              </w:rPr>
              <w:t>7</w:t>
            </w:r>
            <w:r w:rsidRPr="00731752">
              <w:rPr>
                <w:rFonts w:ascii="Times New Roman" w:hAnsi="Times New Roman" w:cs="Times New Roman"/>
                <w:spacing w:val="5"/>
                <w:sz w:val="20"/>
                <w:szCs w:val="20"/>
              </w:rPr>
              <w:t> </w:t>
            </w:r>
            <w:r w:rsidRPr="00731752">
              <w:rPr>
                <w:rStyle w:val="Strong"/>
                <w:rFonts w:ascii="Times New Roman" w:hAnsi="Times New Roman" w:cs="Times New Roman"/>
                <w:spacing w:val="5"/>
                <w:sz w:val="20"/>
                <w:szCs w:val="20"/>
                <w:bdr w:val="none" w:sz="0" w:space="0" w:color="auto" w:frame="1"/>
              </w:rPr>
              <w:t>tax year</w:t>
            </w:r>
          </w:p>
        </w:tc>
        <w:tc>
          <w:tcPr>
            <w:tcW w:w="1701" w:type="dxa"/>
            <w:shd w:val="clear" w:color="auto" w:fill="DBE5F1" w:themeFill="accent1" w:themeFillTint="33"/>
          </w:tcPr>
          <w:p w14:paraId="37097A34" w14:textId="51656745" w:rsidR="001A425F" w:rsidRPr="00731752" w:rsidRDefault="001A425F" w:rsidP="00731752">
            <w:pPr>
              <w:pStyle w:val="NoSpacing"/>
              <w:jc w:val="center"/>
              <w:rPr>
                <w:rFonts w:ascii="Times New Roman" w:hAnsi="Times New Roman" w:cs="Times New Roman"/>
                <w:bCs/>
                <w:sz w:val="20"/>
                <w:szCs w:val="20"/>
                <w:lang w:val="en" w:eastAsia="en-GB"/>
              </w:rPr>
            </w:pPr>
            <w:r w:rsidRPr="00731752">
              <w:rPr>
                <w:rStyle w:val="Strong"/>
                <w:rFonts w:ascii="Times New Roman" w:hAnsi="Times New Roman" w:cs="Times New Roman"/>
                <w:spacing w:val="5"/>
                <w:sz w:val="20"/>
                <w:szCs w:val="20"/>
                <w:bdr w:val="none" w:sz="0" w:space="0" w:color="auto" w:frame="1"/>
              </w:rPr>
              <w:t>Frozen until</w:t>
            </w:r>
            <w:r w:rsidRPr="00731752">
              <w:rPr>
                <w:rFonts w:ascii="Times New Roman" w:hAnsi="Times New Roman" w:cs="Times New Roman"/>
                <w:b/>
                <w:bCs/>
                <w:spacing w:val="5"/>
                <w:sz w:val="20"/>
                <w:szCs w:val="20"/>
                <w:bdr w:val="none" w:sz="0" w:space="0" w:color="auto" w:frame="1"/>
              </w:rPr>
              <w:br/>
            </w:r>
            <w:r w:rsidRPr="00731752">
              <w:rPr>
                <w:rStyle w:val="Strong"/>
                <w:rFonts w:ascii="Times New Roman" w:hAnsi="Times New Roman" w:cs="Times New Roman"/>
                <w:spacing w:val="5"/>
                <w:sz w:val="20"/>
                <w:szCs w:val="20"/>
                <w:bdr w:val="none" w:sz="0" w:space="0" w:color="auto" w:frame="1"/>
              </w:rPr>
              <w:t>(where known)</w:t>
            </w:r>
          </w:p>
        </w:tc>
      </w:tr>
      <w:tr w:rsidR="00731752" w14:paraId="5D96AAFC" w14:textId="77777777" w:rsidTr="00731752">
        <w:tc>
          <w:tcPr>
            <w:tcW w:w="10632" w:type="dxa"/>
            <w:gridSpan w:val="4"/>
            <w:shd w:val="clear" w:color="auto" w:fill="F2F2F2" w:themeFill="background1" w:themeFillShade="F2"/>
          </w:tcPr>
          <w:p w14:paraId="612EDB0F" w14:textId="12F376C2" w:rsidR="00731752" w:rsidRPr="00731752" w:rsidRDefault="00731752" w:rsidP="00731752">
            <w:pPr>
              <w:pStyle w:val="NoSpacing"/>
              <w:rPr>
                <w:rFonts w:ascii="Times New Roman" w:hAnsi="Times New Roman" w:cs="Times New Roman"/>
                <w:bCs/>
                <w:sz w:val="20"/>
                <w:szCs w:val="20"/>
                <w:lang w:val="en" w:eastAsia="en-GB"/>
              </w:rPr>
            </w:pPr>
            <w:r w:rsidRPr="00731752">
              <w:rPr>
                <w:rFonts w:ascii="Times New Roman" w:hAnsi="Times New Roman" w:cs="Times New Roman"/>
                <w:b/>
                <w:sz w:val="20"/>
                <w:szCs w:val="20"/>
                <w:lang w:val="en" w:eastAsia="en-GB"/>
              </w:rPr>
              <w:t>Income Tax Bands</w:t>
            </w:r>
          </w:p>
        </w:tc>
      </w:tr>
      <w:tr w:rsidR="00B9178E" w14:paraId="6E5FEC09" w14:textId="77777777" w:rsidTr="00020EBD">
        <w:tc>
          <w:tcPr>
            <w:tcW w:w="2977" w:type="dxa"/>
          </w:tcPr>
          <w:p w14:paraId="782A6BE5" w14:textId="123C8599" w:rsidR="00B9178E" w:rsidRPr="00731752" w:rsidRDefault="00B9178E" w:rsidP="00B9178E">
            <w:pPr>
              <w:pStyle w:val="NoSpacing"/>
              <w:rPr>
                <w:rFonts w:ascii="Times New Roman" w:hAnsi="Times New Roman" w:cs="Times New Roman"/>
                <w:bCs/>
                <w:sz w:val="20"/>
                <w:szCs w:val="20"/>
                <w:lang w:val="en" w:eastAsia="en-GB"/>
              </w:rPr>
            </w:pPr>
            <w:r w:rsidRPr="00731752">
              <w:rPr>
                <w:rFonts w:ascii="Times New Roman" w:hAnsi="Times New Roman" w:cs="Times New Roman"/>
                <w:spacing w:val="5"/>
                <w:sz w:val="20"/>
                <w:szCs w:val="20"/>
              </w:rPr>
              <w:t>Basic</w:t>
            </w:r>
          </w:p>
        </w:tc>
        <w:tc>
          <w:tcPr>
            <w:tcW w:w="2977" w:type="dxa"/>
          </w:tcPr>
          <w:p w14:paraId="0E7A350B" w14:textId="14675FE3" w:rsidR="00B9178E" w:rsidRPr="00731752" w:rsidRDefault="00B9178E" w:rsidP="00B9178E">
            <w:pPr>
              <w:pStyle w:val="NoSpacing"/>
              <w:jc w:val="center"/>
              <w:rPr>
                <w:rFonts w:ascii="Times New Roman" w:hAnsi="Times New Roman" w:cs="Times New Roman"/>
                <w:bCs/>
                <w:sz w:val="20"/>
                <w:szCs w:val="20"/>
                <w:lang w:val="en" w:eastAsia="en-GB"/>
              </w:rPr>
            </w:pPr>
            <w:r w:rsidRPr="00731752">
              <w:rPr>
                <w:rFonts w:ascii="Times New Roman" w:hAnsi="Times New Roman" w:cs="Times New Roman"/>
                <w:spacing w:val="5"/>
                <w:sz w:val="20"/>
                <w:szCs w:val="20"/>
              </w:rPr>
              <w:t>£1 - £37,700</w:t>
            </w:r>
          </w:p>
        </w:tc>
        <w:tc>
          <w:tcPr>
            <w:tcW w:w="2977" w:type="dxa"/>
          </w:tcPr>
          <w:p w14:paraId="01519C6D" w14:textId="7C5409D8" w:rsidR="00B9178E" w:rsidRPr="00731752" w:rsidRDefault="00B9178E" w:rsidP="00B9178E">
            <w:pPr>
              <w:pStyle w:val="NoSpacing"/>
              <w:jc w:val="center"/>
              <w:rPr>
                <w:rFonts w:ascii="Times New Roman" w:hAnsi="Times New Roman" w:cs="Times New Roman"/>
                <w:bCs/>
                <w:sz w:val="20"/>
                <w:szCs w:val="20"/>
                <w:lang w:val="en" w:eastAsia="en-GB"/>
              </w:rPr>
            </w:pPr>
            <w:r w:rsidRPr="00731752">
              <w:rPr>
                <w:rFonts w:ascii="Times New Roman" w:hAnsi="Times New Roman" w:cs="Times New Roman"/>
                <w:spacing w:val="5"/>
                <w:sz w:val="20"/>
                <w:szCs w:val="20"/>
              </w:rPr>
              <w:t>£1 - £37,700</w:t>
            </w:r>
          </w:p>
        </w:tc>
        <w:tc>
          <w:tcPr>
            <w:tcW w:w="1701" w:type="dxa"/>
            <w:vMerge w:val="restart"/>
          </w:tcPr>
          <w:p w14:paraId="6CF16014" w14:textId="77777777" w:rsidR="00104E2E" w:rsidRDefault="00104E2E" w:rsidP="00B9178E">
            <w:pPr>
              <w:pStyle w:val="NoSpacing"/>
              <w:jc w:val="center"/>
              <w:rPr>
                <w:rFonts w:ascii="Times New Roman" w:hAnsi="Times New Roman" w:cs="Times New Roman"/>
                <w:bCs/>
                <w:sz w:val="20"/>
                <w:szCs w:val="20"/>
                <w:lang w:val="en" w:eastAsia="en-GB"/>
              </w:rPr>
            </w:pPr>
          </w:p>
          <w:p w14:paraId="32EAA244" w14:textId="0F87EF3B" w:rsidR="00B9178E" w:rsidRPr="00731752" w:rsidRDefault="00B9178E" w:rsidP="00B9178E">
            <w:pPr>
              <w:pStyle w:val="NoSpacing"/>
              <w:jc w:val="center"/>
              <w:rPr>
                <w:rFonts w:ascii="Times New Roman" w:hAnsi="Times New Roman" w:cs="Times New Roman"/>
                <w:bCs/>
                <w:sz w:val="20"/>
                <w:szCs w:val="20"/>
                <w:lang w:val="en" w:eastAsia="en-GB"/>
              </w:rPr>
            </w:pPr>
            <w:r>
              <w:rPr>
                <w:rFonts w:ascii="Times New Roman" w:hAnsi="Times New Roman" w:cs="Times New Roman"/>
                <w:bCs/>
                <w:sz w:val="20"/>
                <w:szCs w:val="20"/>
                <w:lang w:val="en" w:eastAsia="en-GB"/>
              </w:rPr>
              <w:t>April 2031</w:t>
            </w:r>
          </w:p>
        </w:tc>
      </w:tr>
      <w:tr w:rsidR="00B9178E" w14:paraId="0AC27578" w14:textId="77777777" w:rsidTr="00020EBD">
        <w:tc>
          <w:tcPr>
            <w:tcW w:w="2977" w:type="dxa"/>
            <w:tcBorders>
              <w:bottom w:val="single" w:sz="4" w:space="0" w:color="auto"/>
            </w:tcBorders>
          </w:tcPr>
          <w:p w14:paraId="70EEF8BC" w14:textId="0B0113D8" w:rsidR="00B9178E" w:rsidRPr="00731752" w:rsidRDefault="00B9178E" w:rsidP="00B9178E">
            <w:pPr>
              <w:pStyle w:val="NoSpacing"/>
              <w:rPr>
                <w:rFonts w:ascii="Times New Roman" w:hAnsi="Times New Roman" w:cs="Times New Roman"/>
                <w:bCs/>
                <w:sz w:val="20"/>
                <w:szCs w:val="20"/>
                <w:lang w:val="en" w:eastAsia="en-GB"/>
              </w:rPr>
            </w:pPr>
            <w:r w:rsidRPr="00731752">
              <w:rPr>
                <w:rFonts w:ascii="Times New Roman" w:hAnsi="Times New Roman" w:cs="Times New Roman"/>
                <w:spacing w:val="5"/>
                <w:sz w:val="20"/>
                <w:szCs w:val="20"/>
              </w:rPr>
              <w:t>Higher</w:t>
            </w:r>
          </w:p>
        </w:tc>
        <w:tc>
          <w:tcPr>
            <w:tcW w:w="2977" w:type="dxa"/>
            <w:tcBorders>
              <w:bottom w:val="single" w:sz="4" w:space="0" w:color="auto"/>
            </w:tcBorders>
          </w:tcPr>
          <w:p w14:paraId="1AC93644" w14:textId="241E2484" w:rsidR="00B9178E" w:rsidRPr="00731752" w:rsidRDefault="00B9178E" w:rsidP="00B9178E">
            <w:pPr>
              <w:pStyle w:val="NoSpacing"/>
              <w:jc w:val="center"/>
              <w:rPr>
                <w:rFonts w:ascii="Times New Roman" w:hAnsi="Times New Roman" w:cs="Times New Roman"/>
                <w:bCs/>
                <w:sz w:val="20"/>
                <w:szCs w:val="20"/>
                <w:lang w:val="en" w:eastAsia="en-GB"/>
              </w:rPr>
            </w:pPr>
            <w:r w:rsidRPr="00731752">
              <w:rPr>
                <w:rFonts w:ascii="Times New Roman" w:hAnsi="Times New Roman" w:cs="Times New Roman"/>
                <w:spacing w:val="5"/>
                <w:sz w:val="20"/>
                <w:szCs w:val="20"/>
              </w:rPr>
              <w:t>£37,701 - £125,140</w:t>
            </w:r>
          </w:p>
        </w:tc>
        <w:tc>
          <w:tcPr>
            <w:tcW w:w="2977" w:type="dxa"/>
            <w:tcBorders>
              <w:bottom w:val="single" w:sz="4" w:space="0" w:color="auto"/>
            </w:tcBorders>
          </w:tcPr>
          <w:p w14:paraId="34338CD2" w14:textId="452F0205" w:rsidR="00B9178E" w:rsidRPr="00731752" w:rsidRDefault="00B9178E" w:rsidP="00B9178E">
            <w:pPr>
              <w:pStyle w:val="NoSpacing"/>
              <w:jc w:val="center"/>
              <w:rPr>
                <w:rFonts w:ascii="Times New Roman" w:hAnsi="Times New Roman" w:cs="Times New Roman"/>
                <w:bCs/>
                <w:sz w:val="20"/>
                <w:szCs w:val="20"/>
                <w:lang w:val="en" w:eastAsia="en-GB"/>
              </w:rPr>
            </w:pPr>
            <w:r w:rsidRPr="00731752">
              <w:rPr>
                <w:rFonts w:ascii="Times New Roman" w:hAnsi="Times New Roman" w:cs="Times New Roman"/>
                <w:spacing w:val="5"/>
                <w:sz w:val="20"/>
                <w:szCs w:val="20"/>
              </w:rPr>
              <w:t>£37,701 - £125,140</w:t>
            </w:r>
          </w:p>
        </w:tc>
        <w:tc>
          <w:tcPr>
            <w:tcW w:w="1701" w:type="dxa"/>
            <w:vMerge/>
          </w:tcPr>
          <w:p w14:paraId="38AE1E05" w14:textId="77777777" w:rsidR="00B9178E" w:rsidRPr="00731752" w:rsidRDefault="00B9178E" w:rsidP="00B9178E">
            <w:pPr>
              <w:pStyle w:val="NoSpacing"/>
              <w:jc w:val="center"/>
              <w:rPr>
                <w:rFonts w:ascii="Times New Roman" w:hAnsi="Times New Roman" w:cs="Times New Roman"/>
                <w:bCs/>
                <w:sz w:val="20"/>
                <w:szCs w:val="20"/>
                <w:lang w:val="en" w:eastAsia="en-GB"/>
              </w:rPr>
            </w:pPr>
          </w:p>
        </w:tc>
      </w:tr>
      <w:tr w:rsidR="00B9178E" w14:paraId="1F07F843" w14:textId="77777777" w:rsidTr="00020EBD">
        <w:tc>
          <w:tcPr>
            <w:tcW w:w="2977" w:type="dxa"/>
          </w:tcPr>
          <w:p w14:paraId="6121334A" w14:textId="376D5228" w:rsidR="00B9178E" w:rsidRPr="00731752" w:rsidRDefault="00B9178E" w:rsidP="00B9178E">
            <w:pPr>
              <w:pStyle w:val="NoSpacing"/>
              <w:rPr>
                <w:rFonts w:ascii="Times New Roman" w:hAnsi="Times New Roman" w:cs="Times New Roman"/>
                <w:bCs/>
                <w:sz w:val="20"/>
                <w:szCs w:val="20"/>
                <w:lang w:val="en" w:eastAsia="en-GB"/>
              </w:rPr>
            </w:pPr>
            <w:r w:rsidRPr="00731752">
              <w:rPr>
                <w:rFonts w:ascii="Times New Roman" w:hAnsi="Times New Roman" w:cs="Times New Roman"/>
                <w:spacing w:val="5"/>
                <w:sz w:val="20"/>
                <w:szCs w:val="20"/>
              </w:rPr>
              <w:t>Additional</w:t>
            </w:r>
          </w:p>
        </w:tc>
        <w:tc>
          <w:tcPr>
            <w:tcW w:w="2977" w:type="dxa"/>
          </w:tcPr>
          <w:p w14:paraId="51B98EA6" w14:textId="41393752" w:rsidR="00B9178E" w:rsidRPr="00731752" w:rsidRDefault="00B9178E" w:rsidP="00B9178E">
            <w:pPr>
              <w:pStyle w:val="NoSpacing"/>
              <w:jc w:val="center"/>
              <w:rPr>
                <w:rFonts w:ascii="Times New Roman" w:hAnsi="Times New Roman" w:cs="Times New Roman"/>
                <w:bCs/>
                <w:sz w:val="20"/>
                <w:szCs w:val="20"/>
                <w:lang w:val="en" w:eastAsia="en-GB"/>
              </w:rPr>
            </w:pPr>
            <w:r w:rsidRPr="00731752">
              <w:rPr>
                <w:rFonts w:ascii="Times New Roman" w:hAnsi="Times New Roman" w:cs="Times New Roman"/>
                <w:spacing w:val="5"/>
                <w:sz w:val="20"/>
                <w:szCs w:val="20"/>
              </w:rPr>
              <w:t>Over £125,140</w:t>
            </w:r>
          </w:p>
        </w:tc>
        <w:tc>
          <w:tcPr>
            <w:tcW w:w="2977" w:type="dxa"/>
          </w:tcPr>
          <w:p w14:paraId="56A25E4E" w14:textId="2645FDF8" w:rsidR="00B9178E" w:rsidRPr="00731752" w:rsidRDefault="00B9178E" w:rsidP="00B9178E">
            <w:pPr>
              <w:pStyle w:val="NoSpacing"/>
              <w:jc w:val="center"/>
              <w:rPr>
                <w:rFonts w:ascii="Times New Roman" w:hAnsi="Times New Roman" w:cs="Times New Roman"/>
                <w:bCs/>
                <w:sz w:val="20"/>
                <w:szCs w:val="20"/>
                <w:lang w:val="en" w:eastAsia="en-GB"/>
              </w:rPr>
            </w:pPr>
            <w:r w:rsidRPr="00731752">
              <w:rPr>
                <w:rFonts w:ascii="Times New Roman" w:hAnsi="Times New Roman" w:cs="Times New Roman"/>
                <w:spacing w:val="5"/>
                <w:sz w:val="20"/>
                <w:szCs w:val="20"/>
              </w:rPr>
              <w:t>Over £125,140</w:t>
            </w:r>
          </w:p>
        </w:tc>
        <w:tc>
          <w:tcPr>
            <w:tcW w:w="1701" w:type="dxa"/>
            <w:vMerge/>
          </w:tcPr>
          <w:p w14:paraId="2E08B4AC" w14:textId="77777777" w:rsidR="00B9178E" w:rsidRPr="00731752" w:rsidRDefault="00B9178E" w:rsidP="00B9178E">
            <w:pPr>
              <w:pStyle w:val="NoSpacing"/>
              <w:jc w:val="center"/>
              <w:rPr>
                <w:rFonts w:ascii="Times New Roman" w:hAnsi="Times New Roman" w:cs="Times New Roman"/>
                <w:bCs/>
                <w:sz w:val="20"/>
                <w:szCs w:val="20"/>
                <w:lang w:val="en" w:eastAsia="en-GB"/>
              </w:rPr>
            </w:pPr>
          </w:p>
        </w:tc>
      </w:tr>
      <w:tr w:rsidR="00731752" w14:paraId="6B4106E5" w14:textId="77777777" w:rsidTr="00731752">
        <w:trPr>
          <w:trHeight w:val="179"/>
        </w:trPr>
        <w:tc>
          <w:tcPr>
            <w:tcW w:w="10632" w:type="dxa"/>
            <w:gridSpan w:val="4"/>
            <w:shd w:val="clear" w:color="auto" w:fill="F2F2F2" w:themeFill="background1" w:themeFillShade="F2"/>
          </w:tcPr>
          <w:p w14:paraId="27FE8BAC" w14:textId="14E0CF93" w:rsidR="00731752" w:rsidRPr="00731752" w:rsidRDefault="00731752" w:rsidP="00731752">
            <w:pPr>
              <w:pStyle w:val="NoSpacing"/>
              <w:rPr>
                <w:rFonts w:ascii="Times New Roman" w:hAnsi="Times New Roman" w:cs="Times New Roman"/>
                <w:bCs/>
                <w:sz w:val="20"/>
                <w:szCs w:val="20"/>
                <w:lang w:val="en" w:eastAsia="en-GB"/>
              </w:rPr>
            </w:pPr>
            <w:r w:rsidRPr="00731752">
              <w:rPr>
                <w:rFonts w:ascii="Times New Roman" w:hAnsi="Times New Roman" w:cs="Times New Roman"/>
                <w:b/>
                <w:bCs/>
                <w:sz w:val="20"/>
                <w:szCs w:val="20"/>
                <w:lang w:eastAsia="en-GB"/>
              </w:rPr>
              <w:t xml:space="preserve">Income </w:t>
            </w:r>
            <w:r w:rsidR="007F5963">
              <w:rPr>
                <w:rFonts w:ascii="Times New Roman" w:hAnsi="Times New Roman" w:cs="Times New Roman"/>
                <w:b/>
                <w:bCs/>
                <w:sz w:val="20"/>
                <w:szCs w:val="20"/>
                <w:lang w:eastAsia="en-GB"/>
              </w:rPr>
              <w:t>T</w:t>
            </w:r>
            <w:r w:rsidRPr="00731752">
              <w:rPr>
                <w:rFonts w:ascii="Times New Roman" w:hAnsi="Times New Roman" w:cs="Times New Roman"/>
                <w:b/>
                <w:bCs/>
                <w:sz w:val="20"/>
                <w:szCs w:val="20"/>
                <w:lang w:eastAsia="en-GB"/>
              </w:rPr>
              <w:t xml:space="preserve">ax </w:t>
            </w:r>
            <w:r w:rsidR="00104E2E">
              <w:rPr>
                <w:rFonts w:ascii="Times New Roman" w:hAnsi="Times New Roman" w:cs="Times New Roman"/>
                <w:b/>
                <w:bCs/>
                <w:sz w:val="20"/>
                <w:szCs w:val="20"/>
                <w:lang w:eastAsia="en-GB"/>
              </w:rPr>
              <w:t>R</w:t>
            </w:r>
            <w:r w:rsidRPr="00731752">
              <w:rPr>
                <w:rFonts w:ascii="Times New Roman" w:hAnsi="Times New Roman" w:cs="Times New Roman"/>
                <w:b/>
                <w:bCs/>
                <w:sz w:val="20"/>
                <w:szCs w:val="20"/>
                <w:lang w:eastAsia="en-GB"/>
              </w:rPr>
              <w:t>ates (main rate)</w:t>
            </w:r>
          </w:p>
        </w:tc>
      </w:tr>
      <w:tr w:rsidR="005B5FB0" w14:paraId="2352A647" w14:textId="77777777" w:rsidTr="00020EBD">
        <w:tc>
          <w:tcPr>
            <w:tcW w:w="2977" w:type="dxa"/>
          </w:tcPr>
          <w:p w14:paraId="36EF9B83" w14:textId="2215EADE" w:rsidR="005B5FB0" w:rsidRPr="00EB7630" w:rsidRDefault="005B5FB0" w:rsidP="005B5FB0">
            <w:pPr>
              <w:pStyle w:val="NoSpacing"/>
              <w:rPr>
                <w:rFonts w:ascii="Times New Roman" w:hAnsi="Times New Roman" w:cs="Times New Roman"/>
                <w:bCs/>
                <w:color w:val="336699"/>
                <w:sz w:val="20"/>
                <w:szCs w:val="20"/>
                <w:lang w:val="en" w:eastAsia="en-GB"/>
              </w:rPr>
            </w:pPr>
            <w:r w:rsidRPr="00EB7630">
              <w:rPr>
                <w:rFonts w:ascii="Times New Roman" w:hAnsi="Times New Roman" w:cs="Times New Roman"/>
                <w:color w:val="333333"/>
                <w:spacing w:val="5"/>
                <w:sz w:val="20"/>
                <w:szCs w:val="20"/>
              </w:rPr>
              <w:t>Basic</w:t>
            </w:r>
          </w:p>
        </w:tc>
        <w:tc>
          <w:tcPr>
            <w:tcW w:w="2977" w:type="dxa"/>
          </w:tcPr>
          <w:p w14:paraId="212DC0FD" w14:textId="3DDFFA59" w:rsidR="005B5FB0" w:rsidRPr="00731752" w:rsidRDefault="005B5FB0" w:rsidP="00731752">
            <w:pPr>
              <w:pStyle w:val="NoSpacing"/>
              <w:jc w:val="center"/>
              <w:rPr>
                <w:rFonts w:ascii="Times New Roman" w:hAnsi="Times New Roman" w:cs="Times New Roman"/>
                <w:bCs/>
                <w:sz w:val="20"/>
                <w:szCs w:val="20"/>
                <w:lang w:val="en" w:eastAsia="en-GB"/>
              </w:rPr>
            </w:pPr>
            <w:r w:rsidRPr="00731752">
              <w:rPr>
                <w:rFonts w:ascii="Times New Roman" w:hAnsi="Times New Roman" w:cs="Times New Roman"/>
                <w:spacing w:val="5"/>
                <w:sz w:val="20"/>
                <w:szCs w:val="20"/>
              </w:rPr>
              <w:t>20%</w:t>
            </w:r>
          </w:p>
        </w:tc>
        <w:tc>
          <w:tcPr>
            <w:tcW w:w="2977" w:type="dxa"/>
          </w:tcPr>
          <w:p w14:paraId="73517FED" w14:textId="54940EE8" w:rsidR="005B5FB0" w:rsidRPr="00731752" w:rsidRDefault="005B5FB0" w:rsidP="00731752">
            <w:pPr>
              <w:pStyle w:val="NoSpacing"/>
              <w:jc w:val="center"/>
              <w:rPr>
                <w:rFonts w:ascii="Times New Roman" w:hAnsi="Times New Roman" w:cs="Times New Roman"/>
                <w:bCs/>
                <w:sz w:val="20"/>
                <w:szCs w:val="20"/>
                <w:lang w:val="en" w:eastAsia="en-GB"/>
              </w:rPr>
            </w:pPr>
            <w:r w:rsidRPr="00731752">
              <w:rPr>
                <w:rFonts w:ascii="Times New Roman" w:hAnsi="Times New Roman" w:cs="Times New Roman"/>
                <w:spacing w:val="5"/>
                <w:sz w:val="20"/>
                <w:szCs w:val="20"/>
              </w:rPr>
              <w:t>20%</w:t>
            </w:r>
          </w:p>
        </w:tc>
        <w:tc>
          <w:tcPr>
            <w:tcW w:w="1701" w:type="dxa"/>
            <w:vMerge w:val="restart"/>
          </w:tcPr>
          <w:p w14:paraId="2D7D4CB9" w14:textId="77777777" w:rsidR="00104E2E" w:rsidRDefault="00104E2E" w:rsidP="00731752">
            <w:pPr>
              <w:pStyle w:val="NoSpacing"/>
              <w:jc w:val="center"/>
              <w:rPr>
                <w:rFonts w:ascii="Times New Roman" w:hAnsi="Times New Roman" w:cs="Times New Roman"/>
                <w:bCs/>
                <w:sz w:val="20"/>
                <w:szCs w:val="20"/>
                <w:lang w:val="en" w:eastAsia="en-GB"/>
              </w:rPr>
            </w:pPr>
          </w:p>
          <w:p w14:paraId="26917A89" w14:textId="77777777" w:rsidR="00104E2E" w:rsidRPr="00104E2E" w:rsidRDefault="00104E2E" w:rsidP="00731752">
            <w:pPr>
              <w:pStyle w:val="NoSpacing"/>
              <w:jc w:val="center"/>
              <w:rPr>
                <w:rFonts w:ascii="Times New Roman" w:hAnsi="Times New Roman" w:cs="Times New Roman"/>
                <w:bCs/>
                <w:sz w:val="10"/>
                <w:szCs w:val="10"/>
                <w:lang w:val="en" w:eastAsia="en-GB"/>
              </w:rPr>
            </w:pPr>
          </w:p>
          <w:p w14:paraId="18A59505" w14:textId="02FFE192" w:rsidR="005B5FB0" w:rsidRPr="00731752" w:rsidRDefault="00B9178E" w:rsidP="00731752">
            <w:pPr>
              <w:pStyle w:val="NoSpacing"/>
              <w:jc w:val="center"/>
              <w:rPr>
                <w:rFonts w:ascii="Times New Roman" w:hAnsi="Times New Roman" w:cs="Times New Roman"/>
                <w:bCs/>
                <w:sz w:val="20"/>
                <w:szCs w:val="20"/>
                <w:lang w:val="en" w:eastAsia="en-GB"/>
              </w:rPr>
            </w:pPr>
            <w:r>
              <w:rPr>
                <w:rFonts w:ascii="Times New Roman" w:hAnsi="Times New Roman" w:cs="Times New Roman"/>
                <w:bCs/>
                <w:sz w:val="20"/>
                <w:szCs w:val="20"/>
                <w:lang w:val="en" w:eastAsia="en-GB"/>
              </w:rPr>
              <w:t>April 2031</w:t>
            </w:r>
          </w:p>
        </w:tc>
      </w:tr>
      <w:tr w:rsidR="005B5FB0" w14:paraId="6B8F0BFB" w14:textId="77777777" w:rsidTr="00020EBD">
        <w:tc>
          <w:tcPr>
            <w:tcW w:w="2977" w:type="dxa"/>
          </w:tcPr>
          <w:p w14:paraId="34C1B3E1" w14:textId="0DCBD7A5" w:rsidR="005B5FB0" w:rsidRPr="00EB7630" w:rsidRDefault="005B5FB0" w:rsidP="005B5FB0">
            <w:pPr>
              <w:pStyle w:val="NoSpacing"/>
              <w:rPr>
                <w:rFonts w:ascii="Times New Roman" w:hAnsi="Times New Roman" w:cs="Times New Roman"/>
                <w:bCs/>
                <w:color w:val="336699"/>
                <w:sz w:val="20"/>
                <w:szCs w:val="20"/>
                <w:lang w:val="en" w:eastAsia="en-GB"/>
              </w:rPr>
            </w:pPr>
            <w:r w:rsidRPr="00EB7630">
              <w:rPr>
                <w:rFonts w:ascii="Times New Roman" w:hAnsi="Times New Roman" w:cs="Times New Roman"/>
                <w:color w:val="333333"/>
                <w:spacing w:val="5"/>
                <w:sz w:val="20"/>
                <w:szCs w:val="20"/>
              </w:rPr>
              <w:t>Higher</w:t>
            </w:r>
          </w:p>
        </w:tc>
        <w:tc>
          <w:tcPr>
            <w:tcW w:w="2977" w:type="dxa"/>
          </w:tcPr>
          <w:p w14:paraId="061EA086" w14:textId="601C8186" w:rsidR="005B5FB0" w:rsidRPr="00731752" w:rsidRDefault="005B5FB0" w:rsidP="00731752">
            <w:pPr>
              <w:pStyle w:val="NoSpacing"/>
              <w:jc w:val="center"/>
              <w:rPr>
                <w:rFonts w:ascii="Times New Roman" w:hAnsi="Times New Roman" w:cs="Times New Roman"/>
                <w:bCs/>
                <w:sz w:val="20"/>
                <w:szCs w:val="20"/>
                <w:lang w:val="en" w:eastAsia="en-GB"/>
              </w:rPr>
            </w:pPr>
            <w:r w:rsidRPr="00731752">
              <w:rPr>
                <w:rFonts w:ascii="Times New Roman" w:hAnsi="Times New Roman" w:cs="Times New Roman"/>
                <w:spacing w:val="5"/>
                <w:sz w:val="20"/>
                <w:szCs w:val="20"/>
              </w:rPr>
              <w:t>40%</w:t>
            </w:r>
          </w:p>
        </w:tc>
        <w:tc>
          <w:tcPr>
            <w:tcW w:w="2977" w:type="dxa"/>
          </w:tcPr>
          <w:p w14:paraId="6000E9BA" w14:textId="40A1CE71" w:rsidR="005B5FB0" w:rsidRPr="00731752" w:rsidRDefault="005B5FB0" w:rsidP="00731752">
            <w:pPr>
              <w:pStyle w:val="NoSpacing"/>
              <w:jc w:val="center"/>
              <w:rPr>
                <w:rFonts w:ascii="Times New Roman" w:hAnsi="Times New Roman" w:cs="Times New Roman"/>
                <w:bCs/>
                <w:sz w:val="20"/>
                <w:szCs w:val="20"/>
                <w:lang w:val="en" w:eastAsia="en-GB"/>
              </w:rPr>
            </w:pPr>
            <w:r w:rsidRPr="00731752">
              <w:rPr>
                <w:rFonts w:ascii="Times New Roman" w:hAnsi="Times New Roman" w:cs="Times New Roman"/>
                <w:spacing w:val="5"/>
                <w:sz w:val="20"/>
                <w:szCs w:val="20"/>
              </w:rPr>
              <w:t>40%</w:t>
            </w:r>
          </w:p>
        </w:tc>
        <w:tc>
          <w:tcPr>
            <w:tcW w:w="1701" w:type="dxa"/>
            <w:vMerge/>
          </w:tcPr>
          <w:p w14:paraId="1E13757D" w14:textId="77777777" w:rsidR="005B5FB0" w:rsidRPr="00731752" w:rsidRDefault="005B5FB0" w:rsidP="00731752">
            <w:pPr>
              <w:pStyle w:val="NoSpacing"/>
              <w:jc w:val="center"/>
              <w:rPr>
                <w:rFonts w:ascii="Times New Roman" w:hAnsi="Times New Roman" w:cs="Times New Roman"/>
                <w:bCs/>
                <w:sz w:val="20"/>
                <w:szCs w:val="20"/>
                <w:lang w:val="en" w:eastAsia="en-GB"/>
              </w:rPr>
            </w:pPr>
          </w:p>
        </w:tc>
      </w:tr>
      <w:tr w:rsidR="005B5FB0" w14:paraId="293D1047" w14:textId="77777777" w:rsidTr="00020EBD">
        <w:tc>
          <w:tcPr>
            <w:tcW w:w="2977" w:type="dxa"/>
          </w:tcPr>
          <w:p w14:paraId="69CB98A3" w14:textId="1A7999F2" w:rsidR="005B5FB0" w:rsidRPr="00EB7630" w:rsidRDefault="005B5FB0" w:rsidP="005B5FB0">
            <w:pPr>
              <w:pStyle w:val="NoSpacing"/>
              <w:rPr>
                <w:rFonts w:ascii="Times New Roman" w:hAnsi="Times New Roman" w:cs="Times New Roman"/>
                <w:bCs/>
                <w:color w:val="336699"/>
                <w:sz w:val="20"/>
                <w:szCs w:val="20"/>
                <w:lang w:val="en" w:eastAsia="en-GB"/>
              </w:rPr>
            </w:pPr>
            <w:r w:rsidRPr="00EB7630">
              <w:rPr>
                <w:rFonts w:ascii="Times New Roman" w:hAnsi="Times New Roman" w:cs="Times New Roman"/>
                <w:color w:val="333333"/>
                <w:spacing w:val="5"/>
                <w:sz w:val="20"/>
                <w:szCs w:val="20"/>
              </w:rPr>
              <w:t>Additional</w:t>
            </w:r>
          </w:p>
        </w:tc>
        <w:tc>
          <w:tcPr>
            <w:tcW w:w="2977" w:type="dxa"/>
          </w:tcPr>
          <w:p w14:paraId="42AB9A2E" w14:textId="4613AB09" w:rsidR="005B5FB0" w:rsidRPr="00731752" w:rsidRDefault="005B5FB0" w:rsidP="00731752">
            <w:pPr>
              <w:pStyle w:val="NoSpacing"/>
              <w:jc w:val="center"/>
              <w:rPr>
                <w:rFonts w:ascii="Times New Roman" w:hAnsi="Times New Roman" w:cs="Times New Roman"/>
                <w:bCs/>
                <w:sz w:val="20"/>
                <w:szCs w:val="20"/>
                <w:lang w:val="en" w:eastAsia="en-GB"/>
              </w:rPr>
            </w:pPr>
            <w:r w:rsidRPr="00731752">
              <w:rPr>
                <w:rFonts w:ascii="Times New Roman" w:hAnsi="Times New Roman" w:cs="Times New Roman"/>
                <w:spacing w:val="5"/>
                <w:sz w:val="20"/>
                <w:szCs w:val="20"/>
              </w:rPr>
              <w:t>45%</w:t>
            </w:r>
          </w:p>
        </w:tc>
        <w:tc>
          <w:tcPr>
            <w:tcW w:w="2977" w:type="dxa"/>
          </w:tcPr>
          <w:p w14:paraId="4C469EF1" w14:textId="7B95551A" w:rsidR="005B5FB0" w:rsidRPr="00731752" w:rsidRDefault="005B5FB0" w:rsidP="00731752">
            <w:pPr>
              <w:pStyle w:val="NoSpacing"/>
              <w:jc w:val="center"/>
              <w:rPr>
                <w:rFonts w:ascii="Times New Roman" w:hAnsi="Times New Roman" w:cs="Times New Roman"/>
                <w:bCs/>
                <w:sz w:val="20"/>
                <w:szCs w:val="20"/>
                <w:lang w:val="en" w:eastAsia="en-GB"/>
              </w:rPr>
            </w:pPr>
            <w:r w:rsidRPr="00731752">
              <w:rPr>
                <w:rFonts w:ascii="Times New Roman" w:hAnsi="Times New Roman" w:cs="Times New Roman"/>
                <w:spacing w:val="5"/>
                <w:sz w:val="20"/>
                <w:szCs w:val="20"/>
              </w:rPr>
              <w:t>45%</w:t>
            </w:r>
          </w:p>
        </w:tc>
        <w:tc>
          <w:tcPr>
            <w:tcW w:w="1701" w:type="dxa"/>
            <w:vMerge/>
          </w:tcPr>
          <w:p w14:paraId="4C4C6149" w14:textId="77777777" w:rsidR="005B5FB0" w:rsidRPr="00731752" w:rsidRDefault="005B5FB0" w:rsidP="00731752">
            <w:pPr>
              <w:pStyle w:val="NoSpacing"/>
              <w:jc w:val="center"/>
              <w:rPr>
                <w:rFonts w:ascii="Times New Roman" w:hAnsi="Times New Roman" w:cs="Times New Roman"/>
                <w:bCs/>
                <w:sz w:val="20"/>
                <w:szCs w:val="20"/>
                <w:lang w:val="en" w:eastAsia="en-GB"/>
              </w:rPr>
            </w:pPr>
          </w:p>
        </w:tc>
      </w:tr>
      <w:tr w:rsidR="005B5FB0" w14:paraId="60546F0B" w14:textId="77777777" w:rsidTr="00020EBD">
        <w:tc>
          <w:tcPr>
            <w:tcW w:w="2977" w:type="dxa"/>
          </w:tcPr>
          <w:p w14:paraId="26A636B5" w14:textId="5303F8A1" w:rsidR="005B5FB0" w:rsidRPr="00EB7630" w:rsidRDefault="005B5FB0" w:rsidP="006C2545">
            <w:pPr>
              <w:pStyle w:val="NoSpacing"/>
              <w:ind w:right="-108"/>
              <w:rPr>
                <w:rFonts w:ascii="Times New Roman" w:hAnsi="Times New Roman" w:cs="Times New Roman"/>
                <w:bCs/>
                <w:color w:val="336699"/>
                <w:sz w:val="20"/>
                <w:szCs w:val="20"/>
                <w:lang w:val="en" w:eastAsia="en-GB"/>
              </w:rPr>
            </w:pPr>
            <w:r w:rsidRPr="00EB7630">
              <w:rPr>
                <w:rFonts w:ascii="Times New Roman" w:hAnsi="Times New Roman" w:cs="Times New Roman"/>
                <w:color w:val="333333"/>
                <w:spacing w:val="5"/>
                <w:sz w:val="20"/>
                <w:szCs w:val="20"/>
              </w:rPr>
              <w:t>Starting rates for savings income</w:t>
            </w:r>
          </w:p>
        </w:tc>
        <w:tc>
          <w:tcPr>
            <w:tcW w:w="2977" w:type="dxa"/>
          </w:tcPr>
          <w:p w14:paraId="518D7919" w14:textId="25953CA3" w:rsidR="005B5FB0" w:rsidRPr="00731752" w:rsidRDefault="005B5FB0" w:rsidP="00731752">
            <w:pPr>
              <w:pStyle w:val="NoSpacing"/>
              <w:jc w:val="center"/>
              <w:rPr>
                <w:rFonts w:ascii="Times New Roman" w:hAnsi="Times New Roman" w:cs="Times New Roman"/>
                <w:bCs/>
                <w:sz w:val="20"/>
                <w:szCs w:val="20"/>
                <w:lang w:val="en" w:eastAsia="en-GB"/>
              </w:rPr>
            </w:pPr>
            <w:r w:rsidRPr="00731752">
              <w:rPr>
                <w:rFonts w:ascii="Times New Roman" w:hAnsi="Times New Roman" w:cs="Times New Roman"/>
                <w:spacing w:val="5"/>
                <w:sz w:val="20"/>
                <w:szCs w:val="20"/>
              </w:rPr>
              <w:t>0%</w:t>
            </w:r>
          </w:p>
        </w:tc>
        <w:tc>
          <w:tcPr>
            <w:tcW w:w="2977" w:type="dxa"/>
          </w:tcPr>
          <w:p w14:paraId="3B6B8887" w14:textId="6943FDFF" w:rsidR="005B5FB0" w:rsidRPr="00731752" w:rsidRDefault="005B5FB0" w:rsidP="00731752">
            <w:pPr>
              <w:pStyle w:val="NoSpacing"/>
              <w:jc w:val="center"/>
              <w:rPr>
                <w:rFonts w:ascii="Times New Roman" w:hAnsi="Times New Roman" w:cs="Times New Roman"/>
                <w:bCs/>
                <w:sz w:val="20"/>
                <w:szCs w:val="20"/>
                <w:lang w:val="en" w:eastAsia="en-GB"/>
              </w:rPr>
            </w:pPr>
            <w:r w:rsidRPr="00731752">
              <w:rPr>
                <w:rFonts w:ascii="Times New Roman" w:hAnsi="Times New Roman" w:cs="Times New Roman"/>
                <w:spacing w:val="5"/>
                <w:sz w:val="20"/>
                <w:szCs w:val="20"/>
              </w:rPr>
              <w:t>0%</w:t>
            </w:r>
          </w:p>
        </w:tc>
        <w:tc>
          <w:tcPr>
            <w:tcW w:w="1701" w:type="dxa"/>
            <w:vMerge/>
          </w:tcPr>
          <w:p w14:paraId="276171B8" w14:textId="77777777" w:rsidR="005B5FB0" w:rsidRPr="00731752" w:rsidRDefault="005B5FB0" w:rsidP="00731752">
            <w:pPr>
              <w:pStyle w:val="NoSpacing"/>
              <w:jc w:val="center"/>
              <w:rPr>
                <w:rFonts w:ascii="Times New Roman" w:hAnsi="Times New Roman" w:cs="Times New Roman"/>
                <w:bCs/>
                <w:sz w:val="20"/>
                <w:szCs w:val="20"/>
                <w:lang w:val="en" w:eastAsia="en-GB"/>
              </w:rPr>
            </w:pPr>
          </w:p>
        </w:tc>
      </w:tr>
      <w:tr w:rsidR="00B9178E" w14:paraId="1A9AB8A8" w14:textId="77777777" w:rsidTr="006C2545">
        <w:tc>
          <w:tcPr>
            <w:tcW w:w="10632" w:type="dxa"/>
            <w:gridSpan w:val="4"/>
            <w:shd w:val="clear" w:color="auto" w:fill="F2F2F2" w:themeFill="background1" w:themeFillShade="F2"/>
          </w:tcPr>
          <w:p w14:paraId="6FDA0911" w14:textId="743061C2" w:rsidR="00B9178E" w:rsidRPr="00731752" w:rsidRDefault="00B9178E" w:rsidP="00B9178E">
            <w:pPr>
              <w:pStyle w:val="NoSpacing"/>
              <w:rPr>
                <w:rFonts w:ascii="Times New Roman" w:hAnsi="Times New Roman" w:cs="Times New Roman"/>
                <w:bCs/>
                <w:sz w:val="20"/>
                <w:szCs w:val="20"/>
                <w:lang w:val="en" w:eastAsia="en-GB"/>
              </w:rPr>
            </w:pPr>
            <w:r w:rsidRPr="00731752">
              <w:rPr>
                <w:rFonts w:ascii="Times New Roman" w:hAnsi="Times New Roman" w:cs="Times New Roman"/>
                <w:b/>
                <w:bCs/>
                <w:sz w:val="20"/>
                <w:szCs w:val="20"/>
                <w:lang w:eastAsia="en-GB"/>
              </w:rPr>
              <w:t xml:space="preserve">Income </w:t>
            </w:r>
            <w:r>
              <w:rPr>
                <w:rFonts w:ascii="Times New Roman" w:hAnsi="Times New Roman" w:cs="Times New Roman"/>
                <w:b/>
                <w:bCs/>
                <w:sz w:val="20"/>
                <w:szCs w:val="20"/>
                <w:lang w:eastAsia="en-GB"/>
              </w:rPr>
              <w:t>T</w:t>
            </w:r>
            <w:r w:rsidRPr="00731752">
              <w:rPr>
                <w:rFonts w:ascii="Times New Roman" w:hAnsi="Times New Roman" w:cs="Times New Roman"/>
                <w:b/>
                <w:bCs/>
                <w:sz w:val="20"/>
                <w:szCs w:val="20"/>
                <w:lang w:eastAsia="en-GB"/>
              </w:rPr>
              <w:t xml:space="preserve">ax </w:t>
            </w:r>
            <w:r w:rsidR="00104E2E">
              <w:rPr>
                <w:rFonts w:ascii="Times New Roman" w:hAnsi="Times New Roman" w:cs="Times New Roman"/>
                <w:b/>
                <w:bCs/>
                <w:sz w:val="20"/>
                <w:szCs w:val="20"/>
                <w:lang w:eastAsia="en-GB"/>
              </w:rPr>
              <w:t>R</w:t>
            </w:r>
            <w:r w:rsidRPr="00731752">
              <w:rPr>
                <w:rFonts w:ascii="Times New Roman" w:hAnsi="Times New Roman" w:cs="Times New Roman"/>
                <w:b/>
                <w:bCs/>
                <w:sz w:val="20"/>
                <w:szCs w:val="20"/>
                <w:lang w:eastAsia="en-GB"/>
              </w:rPr>
              <w:t>ates (</w:t>
            </w:r>
            <w:r>
              <w:rPr>
                <w:rFonts w:ascii="Times New Roman" w:hAnsi="Times New Roman" w:cs="Times New Roman"/>
                <w:b/>
                <w:bCs/>
                <w:sz w:val="20"/>
                <w:szCs w:val="20"/>
                <w:lang w:eastAsia="en-GB"/>
              </w:rPr>
              <w:t>savings &amp; property income</w:t>
            </w:r>
            <w:r w:rsidRPr="00731752">
              <w:rPr>
                <w:rFonts w:ascii="Times New Roman" w:hAnsi="Times New Roman" w:cs="Times New Roman"/>
                <w:b/>
                <w:bCs/>
                <w:sz w:val="20"/>
                <w:szCs w:val="20"/>
                <w:lang w:eastAsia="en-GB"/>
              </w:rPr>
              <w:t>)</w:t>
            </w:r>
          </w:p>
        </w:tc>
      </w:tr>
      <w:tr w:rsidR="006C2545" w14:paraId="54327FEB" w14:textId="77777777" w:rsidTr="00020EBD">
        <w:tc>
          <w:tcPr>
            <w:tcW w:w="2977" w:type="dxa"/>
          </w:tcPr>
          <w:p w14:paraId="3CAAB2AA" w14:textId="6B079613" w:rsidR="006C2545" w:rsidRPr="00EB7630" w:rsidRDefault="006C2545" w:rsidP="006C2545">
            <w:pPr>
              <w:pStyle w:val="NoSpacing"/>
              <w:rPr>
                <w:rFonts w:ascii="Times New Roman" w:hAnsi="Times New Roman" w:cs="Times New Roman"/>
                <w:color w:val="333333"/>
                <w:spacing w:val="5"/>
                <w:sz w:val="20"/>
                <w:szCs w:val="20"/>
              </w:rPr>
            </w:pPr>
            <w:r w:rsidRPr="00EB7630">
              <w:rPr>
                <w:rFonts w:ascii="Times New Roman" w:hAnsi="Times New Roman" w:cs="Times New Roman"/>
                <w:color w:val="333333"/>
                <w:spacing w:val="5"/>
                <w:sz w:val="20"/>
                <w:szCs w:val="20"/>
              </w:rPr>
              <w:t>Basic</w:t>
            </w:r>
          </w:p>
        </w:tc>
        <w:tc>
          <w:tcPr>
            <w:tcW w:w="2977" w:type="dxa"/>
          </w:tcPr>
          <w:p w14:paraId="7B94EEFC" w14:textId="1B93F71A" w:rsidR="006C2545" w:rsidRPr="006C2545" w:rsidRDefault="006C2545" w:rsidP="006C2545">
            <w:pPr>
              <w:pStyle w:val="NoSpacing"/>
              <w:jc w:val="center"/>
              <w:rPr>
                <w:rFonts w:ascii="Times New Roman" w:hAnsi="Times New Roman" w:cs="Times New Roman"/>
                <w:i/>
                <w:iCs/>
                <w:spacing w:val="5"/>
                <w:sz w:val="20"/>
                <w:szCs w:val="20"/>
              </w:rPr>
            </w:pPr>
            <w:r w:rsidRPr="006C2545">
              <w:rPr>
                <w:rFonts w:ascii="Times New Roman" w:hAnsi="Times New Roman" w:cs="Times New Roman"/>
                <w:i/>
                <w:iCs/>
                <w:spacing w:val="5"/>
                <w:sz w:val="20"/>
                <w:szCs w:val="20"/>
              </w:rPr>
              <w:t>Currently tax</w:t>
            </w:r>
            <w:r w:rsidR="00E85928">
              <w:rPr>
                <w:rFonts w:ascii="Times New Roman" w:hAnsi="Times New Roman" w:cs="Times New Roman"/>
                <w:i/>
                <w:iCs/>
                <w:spacing w:val="5"/>
                <w:sz w:val="20"/>
                <w:szCs w:val="20"/>
              </w:rPr>
              <w:t>ed</w:t>
            </w:r>
            <w:r w:rsidRPr="006C2545">
              <w:rPr>
                <w:rFonts w:ascii="Times New Roman" w:hAnsi="Times New Roman" w:cs="Times New Roman"/>
                <w:i/>
                <w:iCs/>
                <w:spacing w:val="5"/>
                <w:sz w:val="20"/>
                <w:szCs w:val="20"/>
              </w:rPr>
              <w:t xml:space="preserve"> via main rate</w:t>
            </w:r>
          </w:p>
        </w:tc>
        <w:tc>
          <w:tcPr>
            <w:tcW w:w="2977" w:type="dxa"/>
          </w:tcPr>
          <w:p w14:paraId="1BA1217A" w14:textId="67CCD9F6" w:rsidR="006C2545" w:rsidRPr="00104E2E" w:rsidRDefault="00104E2E" w:rsidP="006C2545">
            <w:pPr>
              <w:pStyle w:val="NoSpacing"/>
              <w:jc w:val="center"/>
              <w:rPr>
                <w:rFonts w:ascii="Times New Roman" w:hAnsi="Times New Roman" w:cs="Times New Roman"/>
                <w:spacing w:val="5"/>
                <w:sz w:val="16"/>
                <w:szCs w:val="16"/>
              </w:rPr>
            </w:pPr>
            <w:r w:rsidRPr="00104E2E">
              <w:rPr>
                <w:rFonts w:ascii="Times New Roman" w:hAnsi="Times New Roman" w:cs="Times New Roman"/>
                <w:spacing w:val="5"/>
                <w:sz w:val="16"/>
                <w:szCs w:val="16"/>
              </w:rPr>
              <w:t>Unchanged until April 202</w:t>
            </w:r>
            <w:r w:rsidR="00DF12F1">
              <w:rPr>
                <w:rFonts w:ascii="Times New Roman" w:hAnsi="Times New Roman" w:cs="Times New Roman"/>
                <w:spacing w:val="5"/>
                <w:sz w:val="16"/>
                <w:szCs w:val="16"/>
              </w:rPr>
              <w:t>7</w:t>
            </w:r>
            <w:r w:rsidRPr="00104E2E">
              <w:rPr>
                <w:rFonts w:ascii="Times New Roman" w:hAnsi="Times New Roman" w:cs="Times New Roman"/>
                <w:spacing w:val="5"/>
                <w:sz w:val="16"/>
                <w:szCs w:val="16"/>
              </w:rPr>
              <w:t xml:space="preserve">, then </w:t>
            </w:r>
            <w:r w:rsidR="006C2545" w:rsidRPr="00104E2E">
              <w:rPr>
                <w:rFonts w:ascii="Times New Roman" w:hAnsi="Times New Roman" w:cs="Times New Roman"/>
                <w:spacing w:val="5"/>
                <w:sz w:val="16"/>
                <w:szCs w:val="16"/>
              </w:rPr>
              <w:t>22%</w:t>
            </w:r>
          </w:p>
        </w:tc>
        <w:tc>
          <w:tcPr>
            <w:tcW w:w="1701" w:type="dxa"/>
            <w:vMerge w:val="restart"/>
          </w:tcPr>
          <w:p w14:paraId="0F8DF667" w14:textId="77777777" w:rsidR="006C2545" w:rsidRPr="00731752" w:rsidRDefault="006C2545" w:rsidP="006C2545">
            <w:pPr>
              <w:pStyle w:val="NoSpacing"/>
              <w:jc w:val="center"/>
              <w:rPr>
                <w:rFonts w:ascii="Times New Roman" w:hAnsi="Times New Roman" w:cs="Times New Roman"/>
                <w:bCs/>
                <w:sz w:val="20"/>
                <w:szCs w:val="20"/>
                <w:lang w:val="en" w:eastAsia="en-GB"/>
              </w:rPr>
            </w:pPr>
          </w:p>
        </w:tc>
      </w:tr>
      <w:tr w:rsidR="006C2545" w14:paraId="7A3A0F39" w14:textId="77777777" w:rsidTr="00020EBD">
        <w:tc>
          <w:tcPr>
            <w:tcW w:w="2977" w:type="dxa"/>
          </w:tcPr>
          <w:p w14:paraId="3062448C" w14:textId="79C33607" w:rsidR="006C2545" w:rsidRPr="00EB7630" w:rsidRDefault="006C2545" w:rsidP="006C2545">
            <w:pPr>
              <w:pStyle w:val="NoSpacing"/>
              <w:rPr>
                <w:rFonts w:ascii="Times New Roman" w:hAnsi="Times New Roman" w:cs="Times New Roman"/>
                <w:color w:val="333333"/>
                <w:spacing w:val="5"/>
                <w:sz w:val="20"/>
                <w:szCs w:val="20"/>
              </w:rPr>
            </w:pPr>
            <w:r w:rsidRPr="00EB7630">
              <w:rPr>
                <w:rFonts w:ascii="Times New Roman" w:hAnsi="Times New Roman" w:cs="Times New Roman"/>
                <w:color w:val="333333"/>
                <w:spacing w:val="5"/>
                <w:sz w:val="20"/>
                <w:szCs w:val="20"/>
              </w:rPr>
              <w:t>Higher</w:t>
            </w:r>
          </w:p>
        </w:tc>
        <w:tc>
          <w:tcPr>
            <w:tcW w:w="2977" w:type="dxa"/>
          </w:tcPr>
          <w:p w14:paraId="44EC7119" w14:textId="75B64F81" w:rsidR="006C2545" w:rsidRPr="00731752" w:rsidRDefault="006C2545" w:rsidP="006C2545">
            <w:pPr>
              <w:pStyle w:val="NoSpacing"/>
              <w:jc w:val="center"/>
              <w:rPr>
                <w:rFonts w:ascii="Times New Roman" w:hAnsi="Times New Roman" w:cs="Times New Roman"/>
                <w:spacing w:val="5"/>
                <w:sz w:val="20"/>
                <w:szCs w:val="20"/>
              </w:rPr>
            </w:pPr>
            <w:r w:rsidRPr="006C2545">
              <w:rPr>
                <w:rFonts w:ascii="Times New Roman" w:hAnsi="Times New Roman" w:cs="Times New Roman"/>
                <w:i/>
                <w:iCs/>
                <w:spacing w:val="5"/>
                <w:sz w:val="20"/>
                <w:szCs w:val="20"/>
              </w:rPr>
              <w:t>Currently tax</w:t>
            </w:r>
            <w:r w:rsidR="00E85928">
              <w:rPr>
                <w:rFonts w:ascii="Times New Roman" w:hAnsi="Times New Roman" w:cs="Times New Roman"/>
                <w:i/>
                <w:iCs/>
                <w:spacing w:val="5"/>
                <w:sz w:val="20"/>
                <w:szCs w:val="20"/>
              </w:rPr>
              <w:t>ed</w:t>
            </w:r>
            <w:r w:rsidRPr="006C2545">
              <w:rPr>
                <w:rFonts w:ascii="Times New Roman" w:hAnsi="Times New Roman" w:cs="Times New Roman"/>
                <w:i/>
                <w:iCs/>
                <w:spacing w:val="5"/>
                <w:sz w:val="20"/>
                <w:szCs w:val="20"/>
              </w:rPr>
              <w:t xml:space="preserve"> via main rate</w:t>
            </w:r>
          </w:p>
        </w:tc>
        <w:tc>
          <w:tcPr>
            <w:tcW w:w="2977" w:type="dxa"/>
          </w:tcPr>
          <w:p w14:paraId="3DBB9570" w14:textId="0E0D75B9" w:rsidR="006C2545" w:rsidRPr="00104E2E" w:rsidRDefault="00104E2E" w:rsidP="006C2545">
            <w:pPr>
              <w:pStyle w:val="NoSpacing"/>
              <w:jc w:val="center"/>
              <w:rPr>
                <w:rFonts w:ascii="Times New Roman" w:hAnsi="Times New Roman" w:cs="Times New Roman"/>
                <w:spacing w:val="5"/>
                <w:sz w:val="16"/>
                <w:szCs w:val="16"/>
              </w:rPr>
            </w:pPr>
            <w:r>
              <w:rPr>
                <w:rFonts w:ascii="Times New Roman" w:hAnsi="Times New Roman" w:cs="Times New Roman"/>
                <w:spacing w:val="5"/>
                <w:sz w:val="16"/>
                <w:szCs w:val="16"/>
              </w:rPr>
              <w:t xml:space="preserve">Unchanged until April 2027, then </w:t>
            </w:r>
            <w:r w:rsidR="006C2545" w:rsidRPr="00104E2E">
              <w:rPr>
                <w:rFonts w:ascii="Times New Roman" w:hAnsi="Times New Roman" w:cs="Times New Roman"/>
                <w:spacing w:val="5"/>
                <w:sz w:val="16"/>
                <w:szCs w:val="16"/>
              </w:rPr>
              <w:t>42%</w:t>
            </w:r>
          </w:p>
        </w:tc>
        <w:tc>
          <w:tcPr>
            <w:tcW w:w="1701" w:type="dxa"/>
            <w:vMerge/>
          </w:tcPr>
          <w:p w14:paraId="6060BCDB" w14:textId="77777777" w:rsidR="006C2545" w:rsidRPr="00731752" w:rsidRDefault="006C2545" w:rsidP="006C2545">
            <w:pPr>
              <w:pStyle w:val="NoSpacing"/>
              <w:jc w:val="center"/>
              <w:rPr>
                <w:rFonts w:ascii="Times New Roman" w:hAnsi="Times New Roman" w:cs="Times New Roman"/>
                <w:bCs/>
                <w:sz w:val="20"/>
                <w:szCs w:val="20"/>
                <w:lang w:val="en" w:eastAsia="en-GB"/>
              </w:rPr>
            </w:pPr>
          </w:p>
        </w:tc>
      </w:tr>
      <w:tr w:rsidR="006C2545" w14:paraId="131002AF" w14:textId="77777777" w:rsidTr="00020EBD">
        <w:tc>
          <w:tcPr>
            <w:tcW w:w="2977" w:type="dxa"/>
          </w:tcPr>
          <w:p w14:paraId="2066EC9A" w14:textId="5A8AB9DE" w:rsidR="006C2545" w:rsidRPr="00EB7630" w:rsidRDefault="006C2545" w:rsidP="006C2545">
            <w:pPr>
              <w:pStyle w:val="NoSpacing"/>
              <w:rPr>
                <w:rFonts w:ascii="Times New Roman" w:hAnsi="Times New Roman" w:cs="Times New Roman"/>
                <w:color w:val="333333"/>
                <w:spacing w:val="5"/>
                <w:sz w:val="20"/>
                <w:szCs w:val="20"/>
              </w:rPr>
            </w:pPr>
            <w:r w:rsidRPr="00EB7630">
              <w:rPr>
                <w:rFonts w:ascii="Times New Roman" w:hAnsi="Times New Roman" w:cs="Times New Roman"/>
                <w:color w:val="333333"/>
                <w:spacing w:val="5"/>
                <w:sz w:val="20"/>
                <w:szCs w:val="20"/>
              </w:rPr>
              <w:t>Additional</w:t>
            </w:r>
          </w:p>
        </w:tc>
        <w:tc>
          <w:tcPr>
            <w:tcW w:w="2977" w:type="dxa"/>
          </w:tcPr>
          <w:p w14:paraId="278FA331" w14:textId="33C17584" w:rsidR="006C2545" w:rsidRPr="00731752" w:rsidRDefault="006C2545" w:rsidP="006C2545">
            <w:pPr>
              <w:pStyle w:val="NoSpacing"/>
              <w:jc w:val="center"/>
              <w:rPr>
                <w:rFonts w:ascii="Times New Roman" w:hAnsi="Times New Roman" w:cs="Times New Roman"/>
                <w:spacing w:val="5"/>
                <w:sz w:val="20"/>
                <w:szCs w:val="20"/>
              </w:rPr>
            </w:pPr>
            <w:r w:rsidRPr="006C2545">
              <w:rPr>
                <w:rFonts w:ascii="Times New Roman" w:hAnsi="Times New Roman" w:cs="Times New Roman"/>
                <w:i/>
                <w:iCs/>
                <w:spacing w:val="5"/>
                <w:sz w:val="20"/>
                <w:szCs w:val="20"/>
              </w:rPr>
              <w:t>Currently tax</w:t>
            </w:r>
            <w:r w:rsidR="00E85928">
              <w:rPr>
                <w:rFonts w:ascii="Times New Roman" w:hAnsi="Times New Roman" w:cs="Times New Roman"/>
                <w:i/>
                <w:iCs/>
                <w:spacing w:val="5"/>
                <w:sz w:val="20"/>
                <w:szCs w:val="20"/>
              </w:rPr>
              <w:t>ed</w:t>
            </w:r>
            <w:r w:rsidRPr="006C2545">
              <w:rPr>
                <w:rFonts w:ascii="Times New Roman" w:hAnsi="Times New Roman" w:cs="Times New Roman"/>
                <w:i/>
                <w:iCs/>
                <w:spacing w:val="5"/>
                <w:sz w:val="20"/>
                <w:szCs w:val="20"/>
              </w:rPr>
              <w:t xml:space="preserve"> via main rate</w:t>
            </w:r>
          </w:p>
        </w:tc>
        <w:tc>
          <w:tcPr>
            <w:tcW w:w="2977" w:type="dxa"/>
          </w:tcPr>
          <w:p w14:paraId="4C746112" w14:textId="48280935" w:rsidR="006C2545" w:rsidRPr="00104E2E" w:rsidRDefault="00104E2E" w:rsidP="006C2545">
            <w:pPr>
              <w:pStyle w:val="NoSpacing"/>
              <w:jc w:val="center"/>
              <w:rPr>
                <w:rFonts w:ascii="Times New Roman" w:hAnsi="Times New Roman" w:cs="Times New Roman"/>
                <w:spacing w:val="5"/>
                <w:sz w:val="16"/>
                <w:szCs w:val="16"/>
              </w:rPr>
            </w:pPr>
            <w:r>
              <w:rPr>
                <w:rFonts w:ascii="Times New Roman" w:hAnsi="Times New Roman" w:cs="Times New Roman"/>
                <w:spacing w:val="5"/>
                <w:sz w:val="16"/>
                <w:szCs w:val="16"/>
              </w:rPr>
              <w:t xml:space="preserve">Unchanged until April 2027, then </w:t>
            </w:r>
            <w:r w:rsidR="006C2545" w:rsidRPr="00104E2E">
              <w:rPr>
                <w:rFonts w:ascii="Times New Roman" w:hAnsi="Times New Roman" w:cs="Times New Roman"/>
                <w:spacing w:val="5"/>
                <w:sz w:val="16"/>
                <w:szCs w:val="16"/>
              </w:rPr>
              <w:t>47%</w:t>
            </w:r>
          </w:p>
        </w:tc>
        <w:tc>
          <w:tcPr>
            <w:tcW w:w="1701" w:type="dxa"/>
            <w:vMerge/>
          </w:tcPr>
          <w:p w14:paraId="27BCDA50" w14:textId="77777777" w:rsidR="006C2545" w:rsidRPr="00731752" w:rsidRDefault="006C2545" w:rsidP="006C2545">
            <w:pPr>
              <w:pStyle w:val="NoSpacing"/>
              <w:jc w:val="center"/>
              <w:rPr>
                <w:rFonts w:ascii="Times New Roman" w:hAnsi="Times New Roman" w:cs="Times New Roman"/>
                <w:bCs/>
                <w:sz w:val="20"/>
                <w:szCs w:val="20"/>
                <w:lang w:val="en" w:eastAsia="en-GB"/>
              </w:rPr>
            </w:pPr>
          </w:p>
        </w:tc>
      </w:tr>
      <w:tr w:rsidR="00731752" w14:paraId="716FBC5A" w14:textId="77777777" w:rsidTr="00731752">
        <w:tc>
          <w:tcPr>
            <w:tcW w:w="10632" w:type="dxa"/>
            <w:gridSpan w:val="4"/>
            <w:shd w:val="clear" w:color="auto" w:fill="F2F2F2" w:themeFill="background1" w:themeFillShade="F2"/>
          </w:tcPr>
          <w:p w14:paraId="44F7CC91" w14:textId="09587084" w:rsidR="00731752" w:rsidRPr="00731752" w:rsidRDefault="00731752" w:rsidP="00731752">
            <w:pPr>
              <w:pStyle w:val="NoSpacing"/>
              <w:rPr>
                <w:rFonts w:ascii="Times New Roman" w:hAnsi="Times New Roman" w:cs="Times New Roman"/>
                <w:bCs/>
                <w:sz w:val="20"/>
                <w:szCs w:val="20"/>
                <w:lang w:val="en" w:eastAsia="en-GB"/>
              </w:rPr>
            </w:pPr>
            <w:r w:rsidRPr="00EB7630">
              <w:rPr>
                <w:rFonts w:ascii="Times New Roman" w:hAnsi="Times New Roman" w:cs="Times New Roman"/>
                <w:b/>
                <w:bCs/>
                <w:color w:val="333333"/>
                <w:spacing w:val="5"/>
                <w:sz w:val="20"/>
                <w:szCs w:val="20"/>
              </w:rPr>
              <w:t xml:space="preserve">Income </w:t>
            </w:r>
            <w:r w:rsidR="007F5963">
              <w:rPr>
                <w:rFonts w:ascii="Times New Roman" w:hAnsi="Times New Roman" w:cs="Times New Roman"/>
                <w:b/>
                <w:bCs/>
                <w:color w:val="333333"/>
                <w:spacing w:val="5"/>
                <w:sz w:val="20"/>
                <w:szCs w:val="20"/>
              </w:rPr>
              <w:t>T</w:t>
            </w:r>
            <w:r w:rsidRPr="00EB7630">
              <w:rPr>
                <w:rFonts w:ascii="Times New Roman" w:hAnsi="Times New Roman" w:cs="Times New Roman"/>
                <w:b/>
                <w:bCs/>
                <w:color w:val="333333"/>
                <w:spacing w:val="5"/>
                <w:sz w:val="20"/>
                <w:szCs w:val="20"/>
              </w:rPr>
              <w:t xml:space="preserve">ax </w:t>
            </w:r>
            <w:r w:rsidR="00104E2E">
              <w:rPr>
                <w:rFonts w:ascii="Times New Roman" w:hAnsi="Times New Roman" w:cs="Times New Roman"/>
                <w:b/>
                <w:bCs/>
                <w:color w:val="333333"/>
                <w:spacing w:val="5"/>
                <w:sz w:val="20"/>
                <w:szCs w:val="20"/>
              </w:rPr>
              <w:t>R</w:t>
            </w:r>
            <w:r w:rsidRPr="00EB7630">
              <w:rPr>
                <w:rFonts w:ascii="Times New Roman" w:hAnsi="Times New Roman" w:cs="Times New Roman"/>
                <w:b/>
                <w:bCs/>
                <w:color w:val="333333"/>
                <w:spacing w:val="5"/>
                <w:sz w:val="20"/>
                <w:szCs w:val="20"/>
              </w:rPr>
              <w:t>ates (dividends)</w:t>
            </w:r>
          </w:p>
        </w:tc>
      </w:tr>
      <w:tr w:rsidR="005B5FB0" w14:paraId="14389A6E" w14:textId="77777777" w:rsidTr="00020EBD">
        <w:tc>
          <w:tcPr>
            <w:tcW w:w="2977" w:type="dxa"/>
          </w:tcPr>
          <w:p w14:paraId="6699B530" w14:textId="7BD09A69" w:rsidR="005B5FB0" w:rsidRPr="00EB7630" w:rsidRDefault="005B5FB0" w:rsidP="005B5FB0">
            <w:pPr>
              <w:pStyle w:val="NoSpacing"/>
              <w:rPr>
                <w:rFonts w:ascii="Times New Roman" w:hAnsi="Times New Roman" w:cs="Times New Roman"/>
                <w:color w:val="333333"/>
                <w:spacing w:val="5"/>
                <w:sz w:val="20"/>
                <w:szCs w:val="20"/>
              </w:rPr>
            </w:pPr>
            <w:r w:rsidRPr="00EB7630">
              <w:rPr>
                <w:rFonts w:ascii="Times New Roman" w:hAnsi="Times New Roman" w:cs="Times New Roman"/>
                <w:color w:val="333333"/>
                <w:spacing w:val="5"/>
                <w:sz w:val="20"/>
                <w:szCs w:val="20"/>
              </w:rPr>
              <w:t>Basic</w:t>
            </w:r>
          </w:p>
        </w:tc>
        <w:tc>
          <w:tcPr>
            <w:tcW w:w="2977" w:type="dxa"/>
          </w:tcPr>
          <w:p w14:paraId="31C8F33E" w14:textId="0CC0AB21" w:rsidR="005B5FB0" w:rsidRPr="00731752" w:rsidRDefault="005B5FB0" w:rsidP="00731752">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8.75%</w:t>
            </w:r>
          </w:p>
        </w:tc>
        <w:tc>
          <w:tcPr>
            <w:tcW w:w="2977" w:type="dxa"/>
          </w:tcPr>
          <w:p w14:paraId="05284E38" w14:textId="071CC6C4" w:rsidR="005B5FB0" w:rsidRPr="00731752" w:rsidRDefault="00B9178E" w:rsidP="00731752">
            <w:pPr>
              <w:pStyle w:val="NoSpacing"/>
              <w:jc w:val="center"/>
              <w:rPr>
                <w:rFonts w:ascii="Times New Roman" w:hAnsi="Times New Roman" w:cs="Times New Roman"/>
                <w:spacing w:val="5"/>
                <w:sz w:val="20"/>
                <w:szCs w:val="20"/>
              </w:rPr>
            </w:pPr>
            <w:r>
              <w:rPr>
                <w:rFonts w:ascii="Times New Roman" w:hAnsi="Times New Roman" w:cs="Times New Roman"/>
                <w:spacing w:val="5"/>
                <w:sz w:val="20"/>
                <w:szCs w:val="20"/>
              </w:rPr>
              <w:t>10</w:t>
            </w:r>
            <w:r w:rsidR="005B5FB0" w:rsidRPr="00731752">
              <w:rPr>
                <w:rFonts w:ascii="Times New Roman" w:hAnsi="Times New Roman" w:cs="Times New Roman"/>
                <w:spacing w:val="5"/>
                <w:sz w:val="20"/>
                <w:szCs w:val="20"/>
              </w:rPr>
              <w:t>.75%</w:t>
            </w:r>
          </w:p>
        </w:tc>
        <w:tc>
          <w:tcPr>
            <w:tcW w:w="1701" w:type="dxa"/>
            <w:vMerge w:val="restart"/>
          </w:tcPr>
          <w:p w14:paraId="764D72C3" w14:textId="4274C745" w:rsidR="005B5FB0" w:rsidRPr="00731752" w:rsidRDefault="005B5FB0" w:rsidP="00731752">
            <w:pPr>
              <w:pStyle w:val="NoSpacing"/>
              <w:jc w:val="center"/>
              <w:rPr>
                <w:rFonts w:ascii="Times New Roman" w:hAnsi="Times New Roman" w:cs="Times New Roman"/>
                <w:bCs/>
                <w:sz w:val="20"/>
                <w:szCs w:val="20"/>
                <w:lang w:val="en" w:eastAsia="en-GB"/>
              </w:rPr>
            </w:pPr>
          </w:p>
        </w:tc>
      </w:tr>
      <w:tr w:rsidR="005B5FB0" w14:paraId="4410EBF3" w14:textId="77777777" w:rsidTr="00020EBD">
        <w:tc>
          <w:tcPr>
            <w:tcW w:w="2977" w:type="dxa"/>
          </w:tcPr>
          <w:p w14:paraId="5A891D8A" w14:textId="7EBCC95F" w:rsidR="005B5FB0" w:rsidRPr="00EB7630" w:rsidRDefault="005B5FB0" w:rsidP="005B5FB0">
            <w:pPr>
              <w:pStyle w:val="NoSpacing"/>
              <w:rPr>
                <w:rFonts w:ascii="Times New Roman" w:hAnsi="Times New Roman" w:cs="Times New Roman"/>
                <w:color w:val="333333"/>
                <w:spacing w:val="5"/>
                <w:sz w:val="20"/>
                <w:szCs w:val="20"/>
              </w:rPr>
            </w:pPr>
            <w:r w:rsidRPr="00EB7630">
              <w:rPr>
                <w:rFonts w:ascii="Times New Roman" w:hAnsi="Times New Roman" w:cs="Times New Roman"/>
                <w:color w:val="333333"/>
                <w:spacing w:val="5"/>
                <w:sz w:val="20"/>
                <w:szCs w:val="20"/>
              </w:rPr>
              <w:t>Higher</w:t>
            </w:r>
          </w:p>
        </w:tc>
        <w:tc>
          <w:tcPr>
            <w:tcW w:w="2977" w:type="dxa"/>
          </w:tcPr>
          <w:p w14:paraId="593F1E15" w14:textId="2B863F2B" w:rsidR="005B5FB0" w:rsidRPr="00731752" w:rsidRDefault="005B5FB0" w:rsidP="00731752">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33.75%</w:t>
            </w:r>
          </w:p>
        </w:tc>
        <w:tc>
          <w:tcPr>
            <w:tcW w:w="2977" w:type="dxa"/>
          </w:tcPr>
          <w:p w14:paraId="6571FB7F" w14:textId="487BC6E1" w:rsidR="005B5FB0" w:rsidRPr="00731752" w:rsidRDefault="005B5FB0" w:rsidP="00731752">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3</w:t>
            </w:r>
            <w:r w:rsidR="00B9178E">
              <w:rPr>
                <w:rFonts w:ascii="Times New Roman" w:hAnsi="Times New Roman" w:cs="Times New Roman"/>
                <w:spacing w:val="5"/>
                <w:sz w:val="20"/>
                <w:szCs w:val="20"/>
              </w:rPr>
              <w:t>5</w:t>
            </w:r>
            <w:r w:rsidRPr="00731752">
              <w:rPr>
                <w:rFonts w:ascii="Times New Roman" w:hAnsi="Times New Roman" w:cs="Times New Roman"/>
                <w:spacing w:val="5"/>
                <w:sz w:val="20"/>
                <w:szCs w:val="20"/>
              </w:rPr>
              <w:t>.75%</w:t>
            </w:r>
          </w:p>
        </w:tc>
        <w:tc>
          <w:tcPr>
            <w:tcW w:w="1701" w:type="dxa"/>
            <w:vMerge/>
          </w:tcPr>
          <w:p w14:paraId="60CA183E" w14:textId="77777777" w:rsidR="005B5FB0" w:rsidRPr="00731752" w:rsidRDefault="005B5FB0" w:rsidP="00731752">
            <w:pPr>
              <w:pStyle w:val="NoSpacing"/>
              <w:jc w:val="center"/>
              <w:rPr>
                <w:rFonts w:ascii="Times New Roman" w:hAnsi="Times New Roman" w:cs="Times New Roman"/>
                <w:bCs/>
                <w:sz w:val="20"/>
                <w:szCs w:val="20"/>
                <w:lang w:val="en" w:eastAsia="en-GB"/>
              </w:rPr>
            </w:pPr>
          </w:p>
        </w:tc>
      </w:tr>
      <w:tr w:rsidR="005B5FB0" w14:paraId="7A189FA4" w14:textId="77777777" w:rsidTr="00020EBD">
        <w:tc>
          <w:tcPr>
            <w:tcW w:w="2977" w:type="dxa"/>
          </w:tcPr>
          <w:p w14:paraId="5838928E" w14:textId="15F41026" w:rsidR="005B5FB0" w:rsidRPr="00EB7630" w:rsidRDefault="005B5FB0" w:rsidP="005B5FB0">
            <w:pPr>
              <w:pStyle w:val="NoSpacing"/>
              <w:rPr>
                <w:rFonts w:ascii="Times New Roman" w:hAnsi="Times New Roman" w:cs="Times New Roman"/>
                <w:color w:val="333333"/>
                <w:spacing w:val="5"/>
                <w:sz w:val="20"/>
                <w:szCs w:val="20"/>
              </w:rPr>
            </w:pPr>
            <w:r w:rsidRPr="00EB7630">
              <w:rPr>
                <w:rFonts w:ascii="Times New Roman" w:hAnsi="Times New Roman" w:cs="Times New Roman"/>
                <w:color w:val="333333"/>
                <w:spacing w:val="5"/>
                <w:sz w:val="20"/>
                <w:szCs w:val="20"/>
              </w:rPr>
              <w:t>Additional</w:t>
            </w:r>
          </w:p>
        </w:tc>
        <w:tc>
          <w:tcPr>
            <w:tcW w:w="2977" w:type="dxa"/>
          </w:tcPr>
          <w:p w14:paraId="0D5B4428" w14:textId="4F1C3F2C" w:rsidR="005B5FB0" w:rsidRPr="00731752" w:rsidRDefault="005B5FB0" w:rsidP="00731752">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39.35%</w:t>
            </w:r>
          </w:p>
        </w:tc>
        <w:tc>
          <w:tcPr>
            <w:tcW w:w="2977" w:type="dxa"/>
          </w:tcPr>
          <w:p w14:paraId="01525B99" w14:textId="6777F052" w:rsidR="005B5FB0" w:rsidRPr="00731752" w:rsidRDefault="00E85928" w:rsidP="00731752">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39.35%</w:t>
            </w:r>
          </w:p>
        </w:tc>
        <w:tc>
          <w:tcPr>
            <w:tcW w:w="1701" w:type="dxa"/>
            <w:vMerge/>
          </w:tcPr>
          <w:p w14:paraId="4F909E60" w14:textId="77777777" w:rsidR="005B5FB0" w:rsidRPr="00731752" w:rsidRDefault="005B5FB0" w:rsidP="00731752">
            <w:pPr>
              <w:pStyle w:val="NoSpacing"/>
              <w:jc w:val="center"/>
              <w:rPr>
                <w:rFonts w:ascii="Times New Roman" w:hAnsi="Times New Roman" w:cs="Times New Roman"/>
                <w:bCs/>
                <w:sz w:val="20"/>
                <w:szCs w:val="20"/>
                <w:lang w:val="en" w:eastAsia="en-GB"/>
              </w:rPr>
            </w:pPr>
          </w:p>
        </w:tc>
      </w:tr>
      <w:tr w:rsidR="00731752" w14:paraId="18DC644D" w14:textId="77777777" w:rsidTr="005B068F">
        <w:tc>
          <w:tcPr>
            <w:tcW w:w="10632" w:type="dxa"/>
            <w:gridSpan w:val="4"/>
            <w:shd w:val="clear" w:color="auto" w:fill="F2F2F2" w:themeFill="background1" w:themeFillShade="F2"/>
          </w:tcPr>
          <w:p w14:paraId="2228F8C5" w14:textId="7888756C" w:rsidR="00731752" w:rsidRPr="00731752" w:rsidRDefault="00731752" w:rsidP="00731752">
            <w:pPr>
              <w:pStyle w:val="NoSpacing"/>
              <w:rPr>
                <w:rFonts w:ascii="Times New Roman" w:hAnsi="Times New Roman" w:cs="Times New Roman"/>
                <w:bCs/>
                <w:sz w:val="20"/>
                <w:szCs w:val="20"/>
                <w:lang w:val="en" w:eastAsia="en-GB"/>
              </w:rPr>
            </w:pPr>
            <w:r w:rsidRPr="00EB7630">
              <w:rPr>
                <w:rFonts w:ascii="Times New Roman" w:hAnsi="Times New Roman" w:cs="Times New Roman"/>
                <w:b/>
                <w:bCs/>
                <w:color w:val="333333"/>
                <w:spacing w:val="5"/>
                <w:sz w:val="20"/>
                <w:szCs w:val="20"/>
              </w:rPr>
              <w:t xml:space="preserve">Income </w:t>
            </w:r>
            <w:r w:rsidR="007F5963">
              <w:rPr>
                <w:rFonts w:ascii="Times New Roman" w:hAnsi="Times New Roman" w:cs="Times New Roman"/>
                <w:b/>
                <w:bCs/>
                <w:color w:val="333333"/>
                <w:spacing w:val="5"/>
                <w:sz w:val="20"/>
                <w:szCs w:val="20"/>
              </w:rPr>
              <w:t>T</w:t>
            </w:r>
            <w:r w:rsidRPr="00EB7630">
              <w:rPr>
                <w:rFonts w:ascii="Times New Roman" w:hAnsi="Times New Roman" w:cs="Times New Roman"/>
                <w:b/>
                <w:bCs/>
                <w:color w:val="333333"/>
                <w:spacing w:val="5"/>
                <w:sz w:val="20"/>
                <w:szCs w:val="20"/>
              </w:rPr>
              <w:t xml:space="preserve">ax </w:t>
            </w:r>
            <w:r w:rsidR="00104E2E">
              <w:rPr>
                <w:rFonts w:ascii="Times New Roman" w:hAnsi="Times New Roman" w:cs="Times New Roman"/>
                <w:b/>
                <w:bCs/>
                <w:color w:val="333333"/>
                <w:spacing w:val="5"/>
                <w:sz w:val="20"/>
                <w:szCs w:val="20"/>
              </w:rPr>
              <w:t>A</w:t>
            </w:r>
            <w:r w:rsidRPr="00EB7630">
              <w:rPr>
                <w:rFonts w:ascii="Times New Roman" w:hAnsi="Times New Roman" w:cs="Times New Roman"/>
                <w:b/>
                <w:bCs/>
                <w:color w:val="333333"/>
                <w:spacing w:val="5"/>
                <w:sz w:val="20"/>
                <w:szCs w:val="20"/>
              </w:rPr>
              <w:t>llowances</w:t>
            </w:r>
          </w:p>
        </w:tc>
      </w:tr>
      <w:tr w:rsidR="005B5FB0" w14:paraId="3BFA3B25" w14:textId="77777777" w:rsidTr="00020EBD">
        <w:tc>
          <w:tcPr>
            <w:tcW w:w="2977" w:type="dxa"/>
          </w:tcPr>
          <w:p w14:paraId="5A00A36E" w14:textId="587E7A90" w:rsidR="005B5FB0" w:rsidRPr="00EB7630" w:rsidRDefault="005B5FB0" w:rsidP="005B5FB0">
            <w:pPr>
              <w:pStyle w:val="NoSpacing"/>
              <w:rPr>
                <w:rFonts w:ascii="Times New Roman" w:hAnsi="Times New Roman" w:cs="Times New Roman"/>
                <w:color w:val="333333"/>
                <w:spacing w:val="5"/>
                <w:sz w:val="20"/>
                <w:szCs w:val="20"/>
              </w:rPr>
            </w:pPr>
            <w:r w:rsidRPr="00EB7630">
              <w:rPr>
                <w:rFonts w:ascii="Times New Roman" w:hAnsi="Times New Roman" w:cs="Times New Roman"/>
                <w:color w:val="333333"/>
                <w:spacing w:val="5"/>
                <w:sz w:val="20"/>
                <w:szCs w:val="20"/>
              </w:rPr>
              <w:t>Personal allowance</w:t>
            </w:r>
          </w:p>
        </w:tc>
        <w:tc>
          <w:tcPr>
            <w:tcW w:w="2977" w:type="dxa"/>
          </w:tcPr>
          <w:p w14:paraId="658A9B69" w14:textId="0730C89F" w:rsidR="005B5FB0" w:rsidRPr="00731752" w:rsidRDefault="005B5FB0" w:rsidP="00731752">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£12,570</w:t>
            </w:r>
          </w:p>
        </w:tc>
        <w:tc>
          <w:tcPr>
            <w:tcW w:w="2977" w:type="dxa"/>
          </w:tcPr>
          <w:p w14:paraId="1178ECEE" w14:textId="758D3B39" w:rsidR="005B5FB0" w:rsidRPr="00731752" w:rsidRDefault="005B5FB0" w:rsidP="00731752">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£12,570</w:t>
            </w:r>
          </w:p>
        </w:tc>
        <w:tc>
          <w:tcPr>
            <w:tcW w:w="1701" w:type="dxa"/>
            <w:vMerge w:val="restart"/>
          </w:tcPr>
          <w:p w14:paraId="66499F83" w14:textId="77777777" w:rsidR="00104E2E" w:rsidRDefault="00104E2E" w:rsidP="00731752">
            <w:pPr>
              <w:pStyle w:val="NoSpacing"/>
              <w:jc w:val="center"/>
              <w:rPr>
                <w:rFonts w:ascii="Times New Roman" w:hAnsi="Times New Roman" w:cs="Times New Roman"/>
                <w:bCs/>
                <w:sz w:val="20"/>
                <w:szCs w:val="20"/>
                <w:lang w:val="en" w:eastAsia="en-GB"/>
              </w:rPr>
            </w:pPr>
          </w:p>
          <w:p w14:paraId="182B1C49" w14:textId="77777777" w:rsidR="00104E2E" w:rsidRDefault="00104E2E" w:rsidP="00731752">
            <w:pPr>
              <w:pStyle w:val="NoSpacing"/>
              <w:jc w:val="center"/>
              <w:rPr>
                <w:rFonts w:ascii="Times New Roman" w:hAnsi="Times New Roman" w:cs="Times New Roman"/>
                <w:bCs/>
                <w:sz w:val="20"/>
                <w:szCs w:val="20"/>
                <w:lang w:val="en" w:eastAsia="en-GB"/>
              </w:rPr>
            </w:pPr>
          </w:p>
          <w:p w14:paraId="67261B82" w14:textId="31795E80" w:rsidR="005B5FB0" w:rsidRPr="00731752" w:rsidRDefault="00B9178E" w:rsidP="00731752">
            <w:pPr>
              <w:pStyle w:val="NoSpacing"/>
              <w:jc w:val="center"/>
              <w:rPr>
                <w:rFonts w:ascii="Times New Roman" w:hAnsi="Times New Roman" w:cs="Times New Roman"/>
                <w:bCs/>
                <w:sz w:val="20"/>
                <w:szCs w:val="20"/>
                <w:lang w:val="en" w:eastAsia="en-GB"/>
              </w:rPr>
            </w:pPr>
            <w:r>
              <w:rPr>
                <w:rFonts w:ascii="Times New Roman" w:hAnsi="Times New Roman" w:cs="Times New Roman"/>
                <w:bCs/>
                <w:sz w:val="20"/>
                <w:szCs w:val="20"/>
                <w:lang w:val="en" w:eastAsia="en-GB"/>
              </w:rPr>
              <w:t>April 2031</w:t>
            </w:r>
          </w:p>
        </w:tc>
      </w:tr>
      <w:tr w:rsidR="005B5FB0" w14:paraId="06025401" w14:textId="77777777" w:rsidTr="00020EBD">
        <w:tc>
          <w:tcPr>
            <w:tcW w:w="2977" w:type="dxa"/>
          </w:tcPr>
          <w:p w14:paraId="09BBCA05" w14:textId="0BAA7720" w:rsidR="005B5FB0" w:rsidRPr="00EB7630" w:rsidRDefault="005B5FB0" w:rsidP="005B5FB0">
            <w:pPr>
              <w:pStyle w:val="NoSpacing"/>
              <w:rPr>
                <w:rFonts w:ascii="Times New Roman" w:hAnsi="Times New Roman" w:cs="Times New Roman"/>
                <w:color w:val="333333"/>
                <w:spacing w:val="5"/>
                <w:sz w:val="20"/>
                <w:szCs w:val="20"/>
              </w:rPr>
            </w:pPr>
            <w:r w:rsidRPr="00EB7630">
              <w:rPr>
                <w:rFonts w:ascii="Times New Roman" w:hAnsi="Times New Roman" w:cs="Times New Roman"/>
                <w:color w:val="333333"/>
                <w:spacing w:val="5"/>
                <w:sz w:val="20"/>
                <w:szCs w:val="20"/>
              </w:rPr>
              <w:t>Starting rate for savings income</w:t>
            </w:r>
          </w:p>
        </w:tc>
        <w:tc>
          <w:tcPr>
            <w:tcW w:w="2977" w:type="dxa"/>
          </w:tcPr>
          <w:p w14:paraId="0441D18D" w14:textId="25A8CAA9" w:rsidR="005B5FB0" w:rsidRPr="00731752" w:rsidRDefault="005B5FB0" w:rsidP="00731752">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£5,000</w:t>
            </w:r>
          </w:p>
        </w:tc>
        <w:tc>
          <w:tcPr>
            <w:tcW w:w="2977" w:type="dxa"/>
          </w:tcPr>
          <w:p w14:paraId="6C10B662" w14:textId="57738C89" w:rsidR="005B5FB0" w:rsidRPr="00731752" w:rsidRDefault="005B5FB0" w:rsidP="00731752">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£5,000</w:t>
            </w:r>
          </w:p>
        </w:tc>
        <w:tc>
          <w:tcPr>
            <w:tcW w:w="1701" w:type="dxa"/>
            <w:vMerge/>
          </w:tcPr>
          <w:p w14:paraId="5831B53A" w14:textId="77777777" w:rsidR="005B5FB0" w:rsidRPr="00731752" w:rsidRDefault="005B5FB0" w:rsidP="00731752">
            <w:pPr>
              <w:pStyle w:val="NoSpacing"/>
              <w:jc w:val="center"/>
              <w:rPr>
                <w:rFonts w:ascii="Times New Roman" w:hAnsi="Times New Roman" w:cs="Times New Roman"/>
                <w:bCs/>
                <w:sz w:val="20"/>
                <w:szCs w:val="20"/>
                <w:lang w:val="en" w:eastAsia="en-GB"/>
              </w:rPr>
            </w:pPr>
          </w:p>
        </w:tc>
      </w:tr>
      <w:tr w:rsidR="005B5FB0" w14:paraId="69BD919B" w14:textId="77777777" w:rsidTr="00020EBD">
        <w:tc>
          <w:tcPr>
            <w:tcW w:w="2977" w:type="dxa"/>
          </w:tcPr>
          <w:p w14:paraId="225D6D5A" w14:textId="06E34721" w:rsidR="005B5FB0" w:rsidRPr="00EB7630" w:rsidRDefault="005B5FB0" w:rsidP="005B5FB0">
            <w:pPr>
              <w:pStyle w:val="NoSpacing"/>
              <w:rPr>
                <w:rFonts w:ascii="Times New Roman" w:hAnsi="Times New Roman" w:cs="Times New Roman"/>
                <w:color w:val="333333"/>
                <w:spacing w:val="5"/>
                <w:sz w:val="20"/>
                <w:szCs w:val="20"/>
              </w:rPr>
            </w:pPr>
            <w:r w:rsidRPr="00EB7630">
              <w:rPr>
                <w:rFonts w:ascii="Times New Roman" w:hAnsi="Times New Roman" w:cs="Times New Roman"/>
                <w:color w:val="333333"/>
                <w:spacing w:val="5"/>
                <w:sz w:val="20"/>
                <w:szCs w:val="20"/>
              </w:rPr>
              <w:t>Dividend allowance</w:t>
            </w:r>
          </w:p>
        </w:tc>
        <w:tc>
          <w:tcPr>
            <w:tcW w:w="2977" w:type="dxa"/>
          </w:tcPr>
          <w:p w14:paraId="7538D801" w14:textId="582C6AEB" w:rsidR="005B5FB0" w:rsidRPr="00731752" w:rsidRDefault="005B5FB0" w:rsidP="00731752">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£500</w:t>
            </w:r>
          </w:p>
        </w:tc>
        <w:tc>
          <w:tcPr>
            <w:tcW w:w="2977" w:type="dxa"/>
          </w:tcPr>
          <w:p w14:paraId="20C3950D" w14:textId="3B0EA079" w:rsidR="005B5FB0" w:rsidRPr="00731752" w:rsidRDefault="005B5FB0" w:rsidP="00731752">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£500</w:t>
            </w:r>
          </w:p>
        </w:tc>
        <w:tc>
          <w:tcPr>
            <w:tcW w:w="1701" w:type="dxa"/>
            <w:vMerge/>
          </w:tcPr>
          <w:p w14:paraId="0A39E2C7" w14:textId="77777777" w:rsidR="005B5FB0" w:rsidRPr="00731752" w:rsidRDefault="005B5FB0" w:rsidP="00731752">
            <w:pPr>
              <w:pStyle w:val="NoSpacing"/>
              <w:jc w:val="center"/>
              <w:rPr>
                <w:rFonts w:ascii="Times New Roman" w:hAnsi="Times New Roman" w:cs="Times New Roman"/>
                <w:bCs/>
                <w:sz w:val="20"/>
                <w:szCs w:val="20"/>
                <w:lang w:val="en" w:eastAsia="en-GB"/>
              </w:rPr>
            </w:pPr>
          </w:p>
        </w:tc>
      </w:tr>
      <w:tr w:rsidR="005B5FB0" w14:paraId="2CA704F0" w14:textId="77777777" w:rsidTr="00020EBD">
        <w:tc>
          <w:tcPr>
            <w:tcW w:w="2977" w:type="dxa"/>
          </w:tcPr>
          <w:p w14:paraId="3365D086" w14:textId="77777777" w:rsidR="00104E2E" w:rsidRPr="00104E2E" w:rsidRDefault="00104E2E" w:rsidP="005B5FB0">
            <w:pPr>
              <w:pStyle w:val="NoSpacing"/>
              <w:rPr>
                <w:rFonts w:ascii="Times New Roman" w:hAnsi="Times New Roman" w:cs="Times New Roman"/>
                <w:color w:val="333333"/>
                <w:spacing w:val="5"/>
                <w:sz w:val="10"/>
                <w:szCs w:val="10"/>
              </w:rPr>
            </w:pPr>
          </w:p>
          <w:p w14:paraId="2887D2AF" w14:textId="2C5426EB" w:rsidR="005B5FB0" w:rsidRPr="00EB7630" w:rsidRDefault="005B5FB0" w:rsidP="005B5FB0">
            <w:pPr>
              <w:pStyle w:val="NoSpacing"/>
              <w:rPr>
                <w:rFonts w:ascii="Times New Roman" w:hAnsi="Times New Roman" w:cs="Times New Roman"/>
                <w:color w:val="333333"/>
                <w:spacing w:val="5"/>
                <w:sz w:val="20"/>
                <w:szCs w:val="20"/>
              </w:rPr>
            </w:pPr>
            <w:r w:rsidRPr="00EB7630">
              <w:rPr>
                <w:rFonts w:ascii="Times New Roman" w:hAnsi="Times New Roman" w:cs="Times New Roman"/>
                <w:color w:val="333333"/>
                <w:spacing w:val="5"/>
                <w:sz w:val="20"/>
                <w:szCs w:val="20"/>
              </w:rPr>
              <w:t>Personal savings allowance</w:t>
            </w:r>
          </w:p>
        </w:tc>
        <w:tc>
          <w:tcPr>
            <w:tcW w:w="2977" w:type="dxa"/>
          </w:tcPr>
          <w:p w14:paraId="7DAA4236" w14:textId="18835E0F" w:rsidR="005B5FB0" w:rsidRPr="00731752" w:rsidRDefault="005B5FB0" w:rsidP="00731752">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£1,000 (</w:t>
            </w:r>
            <w:r w:rsidR="00104E2E">
              <w:rPr>
                <w:rFonts w:ascii="Times New Roman" w:hAnsi="Times New Roman" w:cs="Times New Roman"/>
                <w:spacing w:val="5"/>
                <w:sz w:val="20"/>
                <w:szCs w:val="20"/>
              </w:rPr>
              <w:t>basic rate</w:t>
            </w:r>
            <w:r w:rsidRPr="00731752">
              <w:rPr>
                <w:rFonts w:ascii="Times New Roman" w:hAnsi="Times New Roman" w:cs="Times New Roman"/>
                <w:spacing w:val="5"/>
                <w:sz w:val="20"/>
                <w:szCs w:val="20"/>
              </w:rPr>
              <w:t>) £500 (</w:t>
            </w:r>
            <w:r w:rsidR="00104E2E">
              <w:rPr>
                <w:rFonts w:ascii="Times New Roman" w:hAnsi="Times New Roman" w:cs="Times New Roman"/>
                <w:spacing w:val="5"/>
                <w:sz w:val="20"/>
                <w:szCs w:val="20"/>
              </w:rPr>
              <w:t>higher rate</w:t>
            </w:r>
            <w:r w:rsidRPr="00731752">
              <w:rPr>
                <w:rFonts w:ascii="Times New Roman" w:hAnsi="Times New Roman" w:cs="Times New Roman"/>
                <w:spacing w:val="5"/>
                <w:sz w:val="20"/>
                <w:szCs w:val="20"/>
              </w:rPr>
              <w:t>) £0 (</w:t>
            </w:r>
            <w:r w:rsidR="00104E2E">
              <w:rPr>
                <w:rFonts w:ascii="Times New Roman" w:hAnsi="Times New Roman" w:cs="Times New Roman"/>
                <w:spacing w:val="5"/>
                <w:sz w:val="20"/>
                <w:szCs w:val="20"/>
              </w:rPr>
              <w:t>additional rate</w:t>
            </w:r>
            <w:r w:rsidRPr="00731752">
              <w:rPr>
                <w:rFonts w:ascii="Times New Roman" w:hAnsi="Times New Roman" w:cs="Times New Roman"/>
                <w:spacing w:val="5"/>
                <w:sz w:val="20"/>
                <w:szCs w:val="20"/>
              </w:rPr>
              <w:t>)</w:t>
            </w:r>
          </w:p>
        </w:tc>
        <w:tc>
          <w:tcPr>
            <w:tcW w:w="2977" w:type="dxa"/>
          </w:tcPr>
          <w:p w14:paraId="07BB0C21" w14:textId="37764AA1" w:rsidR="005B5FB0" w:rsidRPr="00731752" w:rsidRDefault="00104E2E" w:rsidP="00731752">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£1,000 (</w:t>
            </w:r>
            <w:r>
              <w:rPr>
                <w:rFonts w:ascii="Times New Roman" w:hAnsi="Times New Roman" w:cs="Times New Roman"/>
                <w:spacing w:val="5"/>
                <w:sz w:val="20"/>
                <w:szCs w:val="20"/>
              </w:rPr>
              <w:t>basic rate</w:t>
            </w:r>
            <w:r w:rsidRPr="00731752">
              <w:rPr>
                <w:rFonts w:ascii="Times New Roman" w:hAnsi="Times New Roman" w:cs="Times New Roman"/>
                <w:spacing w:val="5"/>
                <w:sz w:val="20"/>
                <w:szCs w:val="20"/>
              </w:rPr>
              <w:t>) £500 (</w:t>
            </w:r>
            <w:r>
              <w:rPr>
                <w:rFonts w:ascii="Times New Roman" w:hAnsi="Times New Roman" w:cs="Times New Roman"/>
                <w:spacing w:val="5"/>
                <w:sz w:val="20"/>
                <w:szCs w:val="20"/>
              </w:rPr>
              <w:t>higher rate</w:t>
            </w:r>
            <w:r w:rsidRPr="00731752">
              <w:rPr>
                <w:rFonts w:ascii="Times New Roman" w:hAnsi="Times New Roman" w:cs="Times New Roman"/>
                <w:spacing w:val="5"/>
                <w:sz w:val="20"/>
                <w:szCs w:val="20"/>
              </w:rPr>
              <w:t>) £0 (</w:t>
            </w:r>
            <w:r>
              <w:rPr>
                <w:rFonts w:ascii="Times New Roman" w:hAnsi="Times New Roman" w:cs="Times New Roman"/>
                <w:spacing w:val="5"/>
                <w:sz w:val="20"/>
                <w:szCs w:val="20"/>
              </w:rPr>
              <w:t>additional rate</w:t>
            </w:r>
            <w:r w:rsidRPr="00731752">
              <w:rPr>
                <w:rFonts w:ascii="Times New Roman" w:hAnsi="Times New Roman" w:cs="Times New Roman"/>
                <w:spacing w:val="5"/>
                <w:sz w:val="20"/>
                <w:szCs w:val="20"/>
              </w:rPr>
              <w:t>)</w:t>
            </w:r>
          </w:p>
        </w:tc>
        <w:tc>
          <w:tcPr>
            <w:tcW w:w="1701" w:type="dxa"/>
            <w:vMerge/>
          </w:tcPr>
          <w:p w14:paraId="2DCD00DE" w14:textId="77777777" w:rsidR="005B5FB0" w:rsidRPr="00731752" w:rsidRDefault="005B5FB0" w:rsidP="00731752">
            <w:pPr>
              <w:pStyle w:val="NoSpacing"/>
              <w:jc w:val="center"/>
              <w:rPr>
                <w:rFonts w:ascii="Times New Roman" w:hAnsi="Times New Roman" w:cs="Times New Roman"/>
                <w:bCs/>
                <w:sz w:val="20"/>
                <w:szCs w:val="20"/>
                <w:lang w:val="en" w:eastAsia="en-GB"/>
              </w:rPr>
            </w:pPr>
          </w:p>
        </w:tc>
      </w:tr>
      <w:tr w:rsidR="00731752" w14:paraId="23B7F4E8" w14:textId="77777777" w:rsidTr="00473431">
        <w:tc>
          <w:tcPr>
            <w:tcW w:w="10632" w:type="dxa"/>
            <w:gridSpan w:val="4"/>
            <w:shd w:val="clear" w:color="auto" w:fill="F2F2F2" w:themeFill="background1" w:themeFillShade="F2"/>
          </w:tcPr>
          <w:p w14:paraId="4F0F9445" w14:textId="48CCEA8F" w:rsidR="00731752" w:rsidRPr="00731752" w:rsidRDefault="00731752" w:rsidP="00731752">
            <w:pPr>
              <w:pStyle w:val="NoSpacing"/>
              <w:rPr>
                <w:rFonts w:ascii="Times New Roman" w:hAnsi="Times New Roman" w:cs="Times New Roman"/>
                <w:bCs/>
                <w:sz w:val="20"/>
                <w:szCs w:val="20"/>
                <w:lang w:val="en" w:eastAsia="en-GB"/>
              </w:rPr>
            </w:pPr>
            <w:r w:rsidRPr="00EB7630">
              <w:rPr>
                <w:rFonts w:ascii="Times New Roman" w:hAnsi="Times New Roman" w:cs="Times New Roman"/>
                <w:b/>
                <w:bCs/>
                <w:color w:val="333333"/>
                <w:spacing w:val="5"/>
                <w:sz w:val="20"/>
                <w:szCs w:val="20"/>
              </w:rPr>
              <w:t xml:space="preserve">Capital Gains Tax </w:t>
            </w:r>
            <w:r w:rsidR="00104E2E">
              <w:rPr>
                <w:rFonts w:ascii="Times New Roman" w:hAnsi="Times New Roman" w:cs="Times New Roman"/>
                <w:b/>
                <w:bCs/>
                <w:color w:val="333333"/>
                <w:spacing w:val="5"/>
                <w:sz w:val="20"/>
                <w:szCs w:val="20"/>
              </w:rPr>
              <w:t>R</w:t>
            </w:r>
            <w:r w:rsidRPr="00EB7630">
              <w:rPr>
                <w:rFonts w:ascii="Times New Roman" w:hAnsi="Times New Roman" w:cs="Times New Roman"/>
                <w:b/>
                <w:bCs/>
                <w:color w:val="333333"/>
                <w:spacing w:val="5"/>
                <w:sz w:val="20"/>
                <w:szCs w:val="20"/>
              </w:rPr>
              <w:t>ates</w:t>
            </w:r>
          </w:p>
        </w:tc>
      </w:tr>
      <w:tr w:rsidR="006C2545" w14:paraId="3AF38154" w14:textId="77777777" w:rsidTr="00020EBD">
        <w:tc>
          <w:tcPr>
            <w:tcW w:w="2977" w:type="dxa"/>
          </w:tcPr>
          <w:p w14:paraId="64340FDC" w14:textId="697F9A79" w:rsidR="006C2545" w:rsidRPr="00EB7630" w:rsidRDefault="006C2545" w:rsidP="006C2545">
            <w:pPr>
              <w:pStyle w:val="NoSpacing"/>
              <w:rPr>
                <w:rFonts w:ascii="Times New Roman" w:hAnsi="Times New Roman" w:cs="Times New Roman"/>
                <w:color w:val="333333"/>
                <w:spacing w:val="5"/>
                <w:sz w:val="20"/>
                <w:szCs w:val="20"/>
              </w:rPr>
            </w:pPr>
            <w:r w:rsidRPr="00EB7630">
              <w:rPr>
                <w:rFonts w:ascii="Times New Roman" w:hAnsi="Times New Roman" w:cs="Times New Roman"/>
                <w:color w:val="333333"/>
                <w:spacing w:val="5"/>
                <w:sz w:val="20"/>
                <w:szCs w:val="20"/>
              </w:rPr>
              <w:t>Main rates for individuals</w:t>
            </w:r>
          </w:p>
        </w:tc>
        <w:tc>
          <w:tcPr>
            <w:tcW w:w="2977" w:type="dxa"/>
          </w:tcPr>
          <w:p w14:paraId="3C5152C6" w14:textId="0F12F44B" w:rsidR="006C2545" w:rsidRPr="00731752" w:rsidRDefault="006C2545" w:rsidP="006C2545">
            <w:pPr>
              <w:pStyle w:val="NoSpacing"/>
              <w:jc w:val="center"/>
            </w:pPr>
            <w:r w:rsidRPr="00731752">
              <w:rPr>
                <w:rFonts w:ascii="Times New Roman" w:hAnsi="Times New Roman" w:cs="Times New Roman"/>
                <w:spacing w:val="5"/>
                <w:sz w:val="20"/>
                <w:szCs w:val="20"/>
              </w:rPr>
              <w:t>18% / 24%</w:t>
            </w:r>
          </w:p>
        </w:tc>
        <w:tc>
          <w:tcPr>
            <w:tcW w:w="2977" w:type="dxa"/>
          </w:tcPr>
          <w:p w14:paraId="16E14655" w14:textId="531D76E8" w:rsidR="006C2545" w:rsidRPr="00731752" w:rsidRDefault="006C2545" w:rsidP="006C2545">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18% / 24%</w:t>
            </w:r>
          </w:p>
        </w:tc>
        <w:tc>
          <w:tcPr>
            <w:tcW w:w="1701" w:type="dxa"/>
            <w:vMerge w:val="restart"/>
          </w:tcPr>
          <w:p w14:paraId="5B53DA88" w14:textId="77777777" w:rsidR="006C2545" w:rsidRPr="00731752" w:rsidRDefault="006C2545" w:rsidP="006C2545">
            <w:pPr>
              <w:pStyle w:val="NoSpacing"/>
              <w:jc w:val="center"/>
              <w:rPr>
                <w:rFonts w:ascii="Times New Roman" w:hAnsi="Times New Roman" w:cs="Times New Roman"/>
                <w:bCs/>
                <w:sz w:val="20"/>
                <w:szCs w:val="20"/>
                <w:lang w:val="en" w:eastAsia="en-GB"/>
              </w:rPr>
            </w:pPr>
          </w:p>
        </w:tc>
      </w:tr>
      <w:tr w:rsidR="006C2545" w14:paraId="3FD26741" w14:textId="77777777" w:rsidTr="00020EBD">
        <w:tc>
          <w:tcPr>
            <w:tcW w:w="2977" w:type="dxa"/>
          </w:tcPr>
          <w:p w14:paraId="2AB538E7" w14:textId="2426D2C0" w:rsidR="006C2545" w:rsidRPr="00EB7630" w:rsidRDefault="006C2545" w:rsidP="006C2545">
            <w:pPr>
              <w:pStyle w:val="NoSpacing"/>
              <w:rPr>
                <w:rFonts w:ascii="Times New Roman" w:hAnsi="Times New Roman" w:cs="Times New Roman"/>
                <w:color w:val="333333"/>
                <w:spacing w:val="5"/>
                <w:sz w:val="20"/>
                <w:szCs w:val="20"/>
              </w:rPr>
            </w:pPr>
            <w:r w:rsidRPr="00EB7630">
              <w:rPr>
                <w:rFonts w:ascii="Times New Roman" w:hAnsi="Times New Roman" w:cs="Times New Roman"/>
                <w:color w:val="333333"/>
                <w:spacing w:val="5"/>
                <w:sz w:val="20"/>
                <w:szCs w:val="20"/>
              </w:rPr>
              <w:t>Residential property</w:t>
            </w:r>
          </w:p>
        </w:tc>
        <w:tc>
          <w:tcPr>
            <w:tcW w:w="2977" w:type="dxa"/>
          </w:tcPr>
          <w:p w14:paraId="0554B10A" w14:textId="616C0446" w:rsidR="006C2545" w:rsidRPr="00731752" w:rsidRDefault="006C2545" w:rsidP="006C2545">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18% / 24%</w:t>
            </w:r>
          </w:p>
        </w:tc>
        <w:tc>
          <w:tcPr>
            <w:tcW w:w="2977" w:type="dxa"/>
          </w:tcPr>
          <w:p w14:paraId="1D188C2D" w14:textId="6F0417F1" w:rsidR="006C2545" w:rsidRPr="00731752" w:rsidRDefault="006C2545" w:rsidP="006C2545">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18% / 24%</w:t>
            </w:r>
          </w:p>
        </w:tc>
        <w:tc>
          <w:tcPr>
            <w:tcW w:w="1701" w:type="dxa"/>
            <w:vMerge/>
          </w:tcPr>
          <w:p w14:paraId="51C64F06" w14:textId="77777777" w:rsidR="006C2545" w:rsidRPr="00731752" w:rsidRDefault="006C2545" w:rsidP="006C2545">
            <w:pPr>
              <w:pStyle w:val="NoSpacing"/>
              <w:jc w:val="center"/>
              <w:rPr>
                <w:rFonts w:ascii="Times New Roman" w:hAnsi="Times New Roman" w:cs="Times New Roman"/>
                <w:bCs/>
                <w:sz w:val="20"/>
                <w:szCs w:val="20"/>
                <w:lang w:val="en" w:eastAsia="en-GB"/>
              </w:rPr>
            </w:pPr>
          </w:p>
        </w:tc>
      </w:tr>
      <w:tr w:rsidR="006C2545" w14:paraId="14DA3DBB" w14:textId="77777777" w:rsidTr="00020EBD">
        <w:tc>
          <w:tcPr>
            <w:tcW w:w="2977" w:type="dxa"/>
          </w:tcPr>
          <w:p w14:paraId="0B571454" w14:textId="430BF4C8" w:rsidR="006C2545" w:rsidRPr="00EB7630" w:rsidRDefault="006C2545" w:rsidP="006C2545">
            <w:pPr>
              <w:pStyle w:val="NoSpacing"/>
              <w:rPr>
                <w:rFonts w:ascii="Times New Roman" w:hAnsi="Times New Roman" w:cs="Times New Roman"/>
                <w:color w:val="333333"/>
                <w:spacing w:val="5"/>
                <w:sz w:val="20"/>
                <w:szCs w:val="20"/>
              </w:rPr>
            </w:pPr>
            <w:r w:rsidRPr="00EB7630">
              <w:rPr>
                <w:rFonts w:ascii="Times New Roman" w:hAnsi="Times New Roman" w:cs="Times New Roman"/>
                <w:color w:val="333333"/>
                <w:spacing w:val="5"/>
                <w:sz w:val="20"/>
                <w:szCs w:val="20"/>
              </w:rPr>
              <w:t xml:space="preserve">Business </w:t>
            </w:r>
            <w:r w:rsidR="00104E2E">
              <w:rPr>
                <w:rFonts w:ascii="Times New Roman" w:hAnsi="Times New Roman" w:cs="Times New Roman"/>
                <w:color w:val="333333"/>
                <w:spacing w:val="5"/>
                <w:sz w:val="20"/>
                <w:szCs w:val="20"/>
              </w:rPr>
              <w:t>a</w:t>
            </w:r>
            <w:r w:rsidRPr="00EB7630">
              <w:rPr>
                <w:rFonts w:ascii="Times New Roman" w:hAnsi="Times New Roman" w:cs="Times New Roman"/>
                <w:color w:val="333333"/>
                <w:spacing w:val="5"/>
                <w:sz w:val="20"/>
                <w:szCs w:val="20"/>
              </w:rPr>
              <w:t xml:space="preserve">sset </w:t>
            </w:r>
            <w:r w:rsidR="00104E2E">
              <w:rPr>
                <w:rFonts w:ascii="Times New Roman" w:hAnsi="Times New Roman" w:cs="Times New Roman"/>
                <w:color w:val="333333"/>
                <w:spacing w:val="5"/>
                <w:sz w:val="20"/>
                <w:szCs w:val="20"/>
              </w:rPr>
              <w:t>d</w:t>
            </w:r>
            <w:r w:rsidRPr="00EB7630">
              <w:rPr>
                <w:rFonts w:ascii="Times New Roman" w:hAnsi="Times New Roman" w:cs="Times New Roman"/>
                <w:color w:val="333333"/>
                <w:spacing w:val="5"/>
                <w:sz w:val="20"/>
                <w:szCs w:val="20"/>
              </w:rPr>
              <w:t xml:space="preserve">isposal </w:t>
            </w:r>
            <w:r w:rsidR="00104E2E">
              <w:rPr>
                <w:rFonts w:ascii="Times New Roman" w:hAnsi="Times New Roman" w:cs="Times New Roman"/>
                <w:color w:val="333333"/>
                <w:spacing w:val="5"/>
                <w:sz w:val="20"/>
                <w:szCs w:val="20"/>
              </w:rPr>
              <w:t>r</w:t>
            </w:r>
            <w:r w:rsidRPr="00EB7630">
              <w:rPr>
                <w:rFonts w:ascii="Times New Roman" w:hAnsi="Times New Roman" w:cs="Times New Roman"/>
                <w:color w:val="333333"/>
                <w:spacing w:val="5"/>
                <w:sz w:val="20"/>
                <w:szCs w:val="20"/>
              </w:rPr>
              <w:t xml:space="preserve">elief </w:t>
            </w:r>
          </w:p>
        </w:tc>
        <w:tc>
          <w:tcPr>
            <w:tcW w:w="2977" w:type="dxa"/>
          </w:tcPr>
          <w:p w14:paraId="26B3927D" w14:textId="23475BD8" w:rsidR="006C2545" w:rsidRPr="00731752" w:rsidRDefault="006C2545" w:rsidP="006C2545">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14%</w:t>
            </w:r>
          </w:p>
        </w:tc>
        <w:tc>
          <w:tcPr>
            <w:tcW w:w="2977" w:type="dxa"/>
          </w:tcPr>
          <w:p w14:paraId="5207932F" w14:textId="6FCB2668" w:rsidR="006C2545" w:rsidRPr="00731752" w:rsidRDefault="006C2545" w:rsidP="006C2545">
            <w:pPr>
              <w:pStyle w:val="NoSpacing"/>
              <w:jc w:val="center"/>
              <w:rPr>
                <w:rFonts w:ascii="Times New Roman" w:hAnsi="Times New Roman" w:cs="Times New Roman"/>
                <w:spacing w:val="5"/>
                <w:sz w:val="20"/>
                <w:szCs w:val="20"/>
              </w:rPr>
            </w:pPr>
            <w:r w:rsidRPr="00892701">
              <w:rPr>
                <w:rFonts w:ascii="Times New Roman" w:hAnsi="Times New Roman" w:cs="Times New Roman"/>
                <w:color w:val="000000" w:themeColor="text1"/>
                <w:spacing w:val="5"/>
                <w:sz w:val="20"/>
                <w:szCs w:val="20"/>
              </w:rPr>
              <w:t>14%</w:t>
            </w:r>
          </w:p>
        </w:tc>
        <w:tc>
          <w:tcPr>
            <w:tcW w:w="1701" w:type="dxa"/>
            <w:vMerge/>
          </w:tcPr>
          <w:p w14:paraId="07A660BF" w14:textId="77777777" w:rsidR="006C2545" w:rsidRPr="00731752" w:rsidRDefault="006C2545" w:rsidP="006C2545">
            <w:pPr>
              <w:pStyle w:val="NoSpacing"/>
              <w:jc w:val="center"/>
              <w:rPr>
                <w:rFonts w:ascii="Times New Roman" w:hAnsi="Times New Roman" w:cs="Times New Roman"/>
                <w:bCs/>
                <w:sz w:val="20"/>
                <w:szCs w:val="20"/>
                <w:lang w:val="en" w:eastAsia="en-GB"/>
              </w:rPr>
            </w:pPr>
          </w:p>
        </w:tc>
      </w:tr>
      <w:tr w:rsidR="00020EBD" w14:paraId="6AB7585F" w14:textId="77777777" w:rsidTr="00DB3D1D">
        <w:tc>
          <w:tcPr>
            <w:tcW w:w="10632" w:type="dxa"/>
            <w:gridSpan w:val="4"/>
            <w:shd w:val="clear" w:color="auto" w:fill="F2F2F2" w:themeFill="background1" w:themeFillShade="F2"/>
          </w:tcPr>
          <w:p w14:paraId="449A3385" w14:textId="14313937" w:rsidR="00020EBD" w:rsidRPr="00731752" w:rsidRDefault="00020EBD" w:rsidP="00020EBD">
            <w:pPr>
              <w:pStyle w:val="NoSpacing"/>
              <w:rPr>
                <w:rFonts w:ascii="Times New Roman" w:hAnsi="Times New Roman" w:cs="Times New Roman"/>
                <w:bCs/>
                <w:sz w:val="20"/>
                <w:szCs w:val="20"/>
                <w:lang w:val="en" w:eastAsia="en-GB"/>
              </w:rPr>
            </w:pPr>
            <w:r w:rsidRPr="00EB7630">
              <w:rPr>
                <w:rFonts w:ascii="Times New Roman" w:hAnsi="Times New Roman" w:cs="Times New Roman"/>
                <w:b/>
                <w:bCs/>
                <w:color w:val="333333"/>
                <w:spacing w:val="5"/>
                <w:sz w:val="20"/>
                <w:szCs w:val="20"/>
              </w:rPr>
              <w:t xml:space="preserve">Capital </w:t>
            </w:r>
            <w:r w:rsidR="007F5963">
              <w:rPr>
                <w:rFonts w:ascii="Times New Roman" w:hAnsi="Times New Roman" w:cs="Times New Roman"/>
                <w:b/>
                <w:bCs/>
                <w:color w:val="333333"/>
                <w:spacing w:val="5"/>
                <w:sz w:val="20"/>
                <w:szCs w:val="20"/>
              </w:rPr>
              <w:t>G</w:t>
            </w:r>
            <w:r w:rsidRPr="00EB7630">
              <w:rPr>
                <w:rFonts w:ascii="Times New Roman" w:hAnsi="Times New Roman" w:cs="Times New Roman"/>
                <w:b/>
                <w:bCs/>
                <w:color w:val="333333"/>
                <w:spacing w:val="5"/>
                <w:sz w:val="20"/>
                <w:szCs w:val="20"/>
              </w:rPr>
              <w:t xml:space="preserve">ains </w:t>
            </w:r>
            <w:r w:rsidR="007F5963">
              <w:rPr>
                <w:rFonts w:ascii="Times New Roman" w:hAnsi="Times New Roman" w:cs="Times New Roman"/>
                <w:b/>
                <w:bCs/>
                <w:color w:val="333333"/>
                <w:spacing w:val="5"/>
                <w:sz w:val="20"/>
                <w:szCs w:val="20"/>
              </w:rPr>
              <w:t>T</w:t>
            </w:r>
            <w:r w:rsidRPr="00EB7630">
              <w:rPr>
                <w:rFonts w:ascii="Times New Roman" w:hAnsi="Times New Roman" w:cs="Times New Roman"/>
                <w:b/>
                <w:bCs/>
                <w:color w:val="333333"/>
                <w:spacing w:val="5"/>
                <w:sz w:val="20"/>
                <w:szCs w:val="20"/>
              </w:rPr>
              <w:t xml:space="preserve">ax </w:t>
            </w:r>
            <w:r w:rsidR="00104E2E">
              <w:rPr>
                <w:rFonts w:ascii="Times New Roman" w:hAnsi="Times New Roman" w:cs="Times New Roman"/>
                <w:b/>
                <w:bCs/>
                <w:color w:val="333333"/>
                <w:spacing w:val="5"/>
                <w:sz w:val="20"/>
                <w:szCs w:val="20"/>
              </w:rPr>
              <w:t>A</w:t>
            </w:r>
            <w:r w:rsidRPr="00EB7630">
              <w:rPr>
                <w:rFonts w:ascii="Times New Roman" w:hAnsi="Times New Roman" w:cs="Times New Roman"/>
                <w:b/>
                <w:bCs/>
                <w:color w:val="333333"/>
                <w:spacing w:val="5"/>
                <w:sz w:val="20"/>
                <w:szCs w:val="20"/>
              </w:rPr>
              <w:t>llowances</w:t>
            </w:r>
          </w:p>
        </w:tc>
      </w:tr>
      <w:tr w:rsidR="006C2545" w14:paraId="0583C288" w14:textId="77777777" w:rsidTr="00020EBD">
        <w:tc>
          <w:tcPr>
            <w:tcW w:w="2977" w:type="dxa"/>
          </w:tcPr>
          <w:p w14:paraId="16C6134D" w14:textId="58C5F30E" w:rsidR="006C2545" w:rsidRPr="00EB7630" w:rsidRDefault="006C2545" w:rsidP="00F07867">
            <w:pPr>
              <w:pStyle w:val="NoSpacing"/>
              <w:rPr>
                <w:rFonts w:ascii="Times New Roman" w:hAnsi="Times New Roman" w:cs="Times New Roman"/>
                <w:color w:val="333333"/>
                <w:spacing w:val="5"/>
                <w:sz w:val="20"/>
                <w:szCs w:val="20"/>
              </w:rPr>
            </w:pPr>
            <w:r w:rsidRPr="00EB7630">
              <w:rPr>
                <w:rFonts w:ascii="Times New Roman" w:hAnsi="Times New Roman" w:cs="Times New Roman"/>
                <w:color w:val="333333"/>
                <w:spacing w:val="5"/>
                <w:sz w:val="20"/>
                <w:szCs w:val="20"/>
              </w:rPr>
              <w:t>Annual exempt amount</w:t>
            </w:r>
          </w:p>
        </w:tc>
        <w:tc>
          <w:tcPr>
            <w:tcW w:w="2977" w:type="dxa"/>
          </w:tcPr>
          <w:p w14:paraId="47DF1BD5" w14:textId="3D0A4E28" w:rsidR="006C2545" w:rsidRPr="00731752" w:rsidRDefault="006C2545" w:rsidP="00731752">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£3,000</w:t>
            </w:r>
          </w:p>
        </w:tc>
        <w:tc>
          <w:tcPr>
            <w:tcW w:w="2977" w:type="dxa"/>
          </w:tcPr>
          <w:p w14:paraId="553B9052" w14:textId="4F6527DA" w:rsidR="006C2545" w:rsidRPr="00731752" w:rsidRDefault="006C2545" w:rsidP="00731752">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£3,000</w:t>
            </w:r>
          </w:p>
        </w:tc>
        <w:tc>
          <w:tcPr>
            <w:tcW w:w="1701" w:type="dxa"/>
            <w:vMerge w:val="restart"/>
          </w:tcPr>
          <w:p w14:paraId="691C80BD" w14:textId="77777777" w:rsidR="006C2545" w:rsidRPr="00731752" w:rsidRDefault="006C2545" w:rsidP="00731752">
            <w:pPr>
              <w:pStyle w:val="NoSpacing"/>
              <w:jc w:val="center"/>
              <w:rPr>
                <w:rFonts w:ascii="Times New Roman" w:hAnsi="Times New Roman" w:cs="Times New Roman"/>
                <w:bCs/>
                <w:sz w:val="20"/>
                <w:szCs w:val="20"/>
                <w:lang w:val="en" w:eastAsia="en-GB"/>
              </w:rPr>
            </w:pPr>
          </w:p>
        </w:tc>
      </w:tr>
      <w:tr w:rsidR="006C2545" w14:paraId="05C262F3" w14:textId="77777777" w:rsidTr="00020EBD">
        <w:tc>
          <w:tcPr>
            <w:tcW w:w="2977" w:type="dxa"/>
          </w:tcPr>
          <w:p w14:paraId="0F617E00" w14:textId="584C98B6" w:rsidR="006C2545" w:rsidRPr="00EB7630" w:rsidRDefault="006C2545" w:rsidP="00F07867">
            <w:pPr>
              <w:pStyle w:val="NoSpacing"/>
              <w:rPr>
                <w:rFonts w:ascii="Times New Roman" w:hAnsi="Times New Roman" w:cs="Times New Roman"/>
                <w:color w:val="333333"/>
                <w:spacing w:val="5"/>
                <w:sz w:val="20"/>
                <w:szCs w:val="20"/>
              </w:rPr>
            </w:pPr>
            <w:r w:rsidRPr="00EB7630">
              <w:rPr>
                <w:rFonts w:ascii="Times New Roman" w:hAnsi="Times New Roman" w:cs="Times New Roman"/>
                <w:color w:val="333333"/>
                <w:spacing w:val="5"/>
                <w:sz w:val="20"/>
                <w:szCs w:val="20"/>
              </w:rPr>
              <w:t xml:space="preserve">Entrepreneurs' </w:t>
            </w:r>
            <w:r w:rsidR="00104E2E">
              <w:rPr>
                <w:rFonts w:ascii="Times New Roman" w:hAnsi="Times New Roman" w:cs="Times New Roman"/>
                <w:color w:val="333333"/>
                <w:spacing w:val="5"/>
                <w:sz w:val="20"/>
                <w:szCs w:val="20"/>
              </w:rPr>
              <w:t>r</w:t>
            </w:r>
            <w:r w:rsidRPr="00EB7630">
              <w:rPr>
                <w:rFonts w:ascii="Times New Roman" w:hAnsi="Times New Roman" w:cs="Times New Roman"/>
                <w:color w:val="333333"/>
                <w:spacing w:val="5"/>
                <w:sz w:val="20"/>
                <w:szCs w:val="20"/>
              </w:rPr>
              <w:t>elief - </w:t>
            </w:r>
            <w:r w:rsidR="00104E2E">
              <w:rPr>
                <w:rFonts w:ascii="Times New Roman" w:hAnsi="Times New Roman" w:cs="Times New Roman"/>
                <w:color w:val="333333"/>
                <w:spacing w:val="5"/>
                <w:sz w:val="20"/>
                <w:szCs w:val="20"/>
              </w:rPr>
              <w:t>l</w:t>
            </w:r>
            <w:r w:rsidRPr="00EB7630">
              <w:rPr>
                <w:rFonts w:ascii="Times New Roman" w:hAnsi="Times New Roman" w:cs="Times New Roman"/>
                <w:color w:val="333333"/>
                <w:spacing w:val="5"/>
                <w:sz w:val="20"/>
                <w:szCs w:val="20"/>
              </w:rPr>
              <w:t>ifetime limit</w:t>
            </w:r>
          </w:p>
        </w:tc>
        <w:tc>
          <w:tcPr>
            <w:tcW w:w="2977" w:type="dxa"/>
          </w:tcPr>
          <w:p w14:paraId="39FB92A9" w14:textId="77777777" w:rsidR="00104E2E" w:rsidRPr="00104E2E" w:rsidRDefault="00104E2E" w:rsidP="00731752">
            <w:pPr>
              <w:pStyle w:val="NoSpacing"/>
              <w:jc w:val="center"/>
              <w:rPr>
                <w:rFonts w:ascii="Times New Roman" w:hAnsi="Times New Roman" w:cs="Times New Roman"/>
                <w:spacing w:val="5"/>
                <w:sz w:val="10"/>
                <w:szCs w:val="10"/>
              </w:rPr>
            </w:pPr>
          </w:p>
          <w:p w14:paraId="2A2B8E28" w14:textId="0D8B745C" w:rsidR="006C2545" w:rsidRPr="00731752" w:rsidRDefault="006C2545" w:rsidP="00731752">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£1,000,000</w:t>
            </w:r>
          </w:p>
        </w:tc>
        <w:tc>
          <w:tcPr>
            <w:tcW w:w="2977" w:type="dxa"/>
          </w:tcPr>
          <w:p w14:paraId="0CA90943" w14:textId="77777777" w:rsidR="00104E2E" w:rsidRPr="00104E2E" w:rsidRDefault="00104E2E" w:rsidP="00104E2E">
            <w:pPr>
              <w:pStyle w:val="NoSpacing"/>
              <w:jc w:val="center"/>
              <w:rPr>
                <w:rFonts w:ascii="Times New Roman" w:hAnsi="Times New Roman" w:cs="Times New Roman"/>
                <w:spacing w:val="5"/>
                <w:sz w:val="10"/>
                <w:szCs w:val="10"/>
              </w:rPr>
            </w:pPr>
          </w:p>
          <w:p w14:paraId="63F96B4C" w14:textId="4BD4FD58" w:rsidR="006C2545" w:rsidRPr="00731752" w:rsidRDefault="00104E2E" w:rsidP="00104E2E">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£1,000,000</w:t>
            </w:r>
          </w:p>
        </w:tc>
        <w:tc>
          <w:tcPr>
            <w:tcW w:w="1701" w:type="dxa"/>
            <w:vMerge/>
          </w:tcPr>
          <w:p w14:paraId="7296297C" w14:textId="77777777" w:rsidR="006C2545" w:rsidRPr="00731752" w:rsidRDefault="006C2545" w:rsidP="00731752">
            <w:pPr>
              <w:pStyle w:val="NoSpacing"/>
              <w:jc w:val="center"/>
              <w:rPr>
                <w:rFonts w:ascii="Times New Roman" w:hAnsi="Times New Roman" w:cs="Times New Roman"/>
                <w:bCs/>
                <w:sz w:val="20"/>
                <w:szCs w:val="20"/>
                <w:lang w:val="en" w:eastAsia="en-GB"/>
              </w:rPr>
            </w:pPr>
          </w:p>
        </w:tc>
      </w:tr>
      <w:tr w:rsidR="00020EBD" w14:paraId="0525CE56" w14:textId="77777777" w:rsidTr="00440825">
        <w:tc>
          <w:tcPr>
            <w:tcW w:w="10632" w:type="dxa"/>
            <w:gridSpan w:val="4"/>
            <w:shd w:val="clear" w:color="auto" w:fill="F2F2F2" w:themeFill="background1" w:themeFillShade="F2"/>
          </w:tcPr>
          <w:p w14:paraId="5FCAE0FA" w14:textId="1122454D" w:rsidR="00020EBD" w:rsidRPr="00731752" w:rsidRDefault="00020EBD" w:rsidP="00020EBD">
            <w:pPr>
              <w:pStyle w:val="NoSpacing"/>
              <w:rPr>
                <w:rFonts w:ascii="Times New Roman" w:hAnsi="Times New Roman" w:cs="Times New Roman"/>
                <w:bCs/>
                <w:sz w:val="20"/>
                <w:szCs w:val="20"/>
                <w:lang w:val="en" w:eastAsia="en-GB"/>
              </w:rPr>
            </w:pPr>
            <w:r w:rsidRPr="00EB7630">
              <w:rPr>
                <w:rFonts w:ascii="Times New Roman" w:hAnsi="Times New Roman" w:cs="Times New Roman"/>
                <w:b/>
                <w:bCs/>
                <w:color w:val="333333"/>
                <w:spacing w:val="5"/>
                <w:sz w:val="20"/>
                <w:szCs w:val="20"/>
              </w:rPr>
              <w:t>Inheritance Tax</w:t>
            </w:r>
          </w:p>
        </w:tc>
      </w:tr>
      <w:tr w:rsidR="00DA1B1D" w14:paraId="490A1C6A" w14:textId="77777777" w:rsidTr="00020EBD">
        <w:tc>
          <w:tcPr>
            <w:tcW w:w="2977" w:type="dxa"/>
          </w:tcPr>
          <w:p w14:paraId="166961DB" w14:textId="19F2CD2E" w:rsidR="00DA1B1D" w:rsidRPr="00EB7630" w:rsidRDefault="00DA1B1D" w:rsidP="00DA1B1D">
            <w:pPr>
              <w:pStyle w:val="NoSpacing"/>
              <w:rPr>
                <w:rFonts w:ascii="Times New Roman" w:hAnsi="Times New Roman" w:cs="Times New Roman"/>
                <w:color w:val="333333"/>
                <w:spacing w:val="5"/>
                <w:sz w:val="20"/>
                <w:szCs w:val="20"/>
              </w:rPr>
            </w:pPr>
            <w:r w:rsidRPr="00EB7630">
              <w:rPr>
                <w:rFonts w:ascii="Times New Roman" w:hAnsi="Times New Roman" w:cs="Times New Roman"/>
                <w:color w:val="333333"/>
                <w:spacing w:val="5"/>
                <w:sz w:val="20"/>
                <w:szCs w:val="20"/>
              </w:rPr>
              <w:t>Nil rate band</w:t>
            </w:r>
          </w:p>
        </w:tc>
        <w:tc>
          <w:tcPr>
            <w:tcW w:w="2977" w:type="dxa"/>
          </w:tcPr>
          <w:p w14:paraId="63DBD344" w14:textId="12B6292B" w:rsidR="00DA1B1D" w:rsidRPr="00731752" w:rsidRDefault="00DA1B1D" w:rsidP="00731752">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£325,000</w:t>
            </w:r>
          </w:p>
        </w:tc>
        <w:tc>
          <w:tcPr>
            <w:tcW w:w="2977" w:type="dxa"/>
          </w:tcPr>
          <w:p w14:paraId="0344C733" w14:textId="715606B9" w:rsidR="00DA1B1D" w:rsidRPr="00731752" w:rsidRDefault="00DA1B1D" w:rsidP="00731752">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£325,000</w:t>
            </w:r>
          </w:p>
        </w:tc>
        <w:tc>
          <w:tcPr>
            <w:tcW w:w="1701" w:type="dxa"/>
            <w:vMerge w:val="restart"/>
          </w:tcPr>
          <w:p w14:paraId="083DD5B0" w14:textId="77777777" w:rsidR="00104E2E" w:rsidRDefault="00104E2E" w:rsidP="00731752">
            <w:pPr>
              <w:pStyle w:val="NoSpacing"/>
              <w:jc w:val="center"/>
              <w:rPr>
                <w:rFonts w:ascii="Times New Roman" w:hAnsi="Times New Roman" w:cs="Times New Roman"/>
                <w:bCs/>
                <w:sz w:val="20"/>
                <w:szCs w:val="20"/>
                <w:lang w:val="en" w:eastAsia="en-GB"/>
              </w:rPr>
            </w:pPr>
          </w:p>
          <w:p w14:paraId="4DD704B9" w14:textId="77777777" w:rsidR="00104E2E" w:rsidRDefault="00104E2E" w:rsidP="00731752">
            <w:pPr>
              <w:pStyle w:val="NoSpacing"/>
              <w:jc w:val="center"/>
              <w:rPr>
                <w:rFonts w:ascii="Times New Roman" w:hAnsi="Times New Roman" w:cs="Times New Roman"/>
                <w:bCs/>
                <w:sz w:val="20"/>
                <w:szCs w:val="20"/>
                <w:lang w:val="en" w:eastAsia="en-GB"/>
              </w:rPr>
            </w:pPr>
          </w:p>
          <w:p w14:paraId="58BCEE00" w14:textId="77777777" w:rsidR="00104E2E" w:rsidRDefault="00104E2E" w:rsidP="00731752">
            <w:pPr>
              <w:pStyle w:val="NoSpacing"/>
              <w:jc w:val="center"/>
              <w:rPr>
                <w:rFonts w:ascii="Times New Roman" w:hAnsi="Times New Roman" w:cs="Times New Roman"/>
                <w:bCs/>
                <w:sz w:val="20"/>
                <w:szCs w:val="20"/>
                <w:lang w:val="en" w:eastAsia="en-GB"/>
              </w:rPr>
            </w:pPr>
          </w:p>
          <w:p w14:paraId="009AADCC" w14:textId="4CDD16B5" w:rsidR="00DA1B1D" w:rsidRPr="00731752" w:rsidRDefault="00DA1B1D" w:rsidP="00731752">
            <w:pPr>
              <w:pStyle w:val="NoSpacing"/>
              <w:jc w:val="center"/>
              <w:rPr>
                <w:rFonts w:ascii="Times New Roman" w:hAnsi="Times New Roman" w:cs="Times New Roman"/>
                <w:bCs/>
                <w:sz w:val="20"/>
                <w:szCs w:val="20"/>
                <w:lang w:val="en" w:eastAsia="en-GB"/>
              </w:rPr>
            </w:pPr>
            <w:r w:rsidRPr="00731752">
              <w:rPr>
                <w:rFonts w:ascii="Times New Roman" w:hAnsi="Times New Roman" w:cs="Times New Roman"/>
                <w:bCs/>
                <w:sz w:val="20"/>
                <w:szCs w:val="20"/>
                <w:lang w:val="en" w:eastAsia="en-GB"/>
              </w:rPr>
              <w:t>April 203</w:t>
            </w:r>
            <w:r w:rsidR="00087757">
              <w:rPr>
                <w:rFonts w:ascii="Times New Roman" w:hAnsi="Times New Roman" w:cs="Times New Roman"/>
                <w:bCs/>
                <w:sz w:val="20"/>
                <w:szCs w:val="20"/>
                <w:lang w:val="en" w:eastAsia="en-GB"/>
              </w:rPr>
              <w:t>1</w:t>
            </w:r>
          </w:p>
        </w:tc>
      </w:tr>
      <w:tr w:rsidR="00DA1B1D" w14:paraId="3A5596D9" w14:textId="77777777" w:rsidTr="00020EBD">
        <w:tc>
          <w:tcPr>
            <w:tcW w:w="2977" w:type="dxa"/>
          </w:tcPr>
          <w:p w14:paraId="1D26EFB7" w14:textId="2B7B98D9" w:rsidR="00DA1B1D" w:rsidRPr="00EB7630" w:rsidRDefault="00DA1B1D" w:rsidP="00DA1B1D">
            <w:pPr>
              <w:pStyle w:val="NoSpacing"/>
              <w:rPr>
                <w:rFonts w:ascii="Times New Roman" w:hAnsi="Times New Roman" w:cs="Times New Roman"/>
                <w:color w:val="333333"/>
                <w:spacing w:val="5"/>
                <w:sz w:val="20"/>
                <w:szCs w:val="20"/>
              </w:rPr>
            </w:pPr>
            <w:r w:rsidRPr="00EB7630">
              <w:rPr>
                <w:rFonts w:ascii="Times New Roman" w:hAnsi="Times New Roman" w:cs="Times New Roman"/>
                <w:color w:val="333333"/>
                <w:spacing w:val="5"/>
                <w:sz w:val="20"/>
                <w:szCs w:val="20"/>
              </w:rPr>
              <w:t>Residential nil rate band (RNRB)</w:t>
            </w:r>
          </w:p>
        </w:tc>
        <w:tc>
          <w:tcPr>
            <w:tcW w:w="2977" w:type="dxa"/>
          </w:tcPr>
          <w:p w14:paraId="276239A2" w14:textId="77777777" w:rsidR="00DF12F1" w:rsidRPr="00DF12F1" w:rsidRDefault="00DF12F1" w:rsidP="00731752">
            <w:pPr>
              <w:pStyle w:val="NoSpacing"/>
              <w:jc w:val="center"/>
              <w:rPr>
                <w:rFonts w:ascii="Times New Roman" w:hAnsi="Times New Roman" w:cs="Times New Roman"/>
                <w:spacing w:val="5"/>
                <w:sz w:val="10"/>
                <w:szCs w:val="10"/>
              </w:rPr>
            </w:pPr>
          </w:p>
          <w:p w14:paraId="79C7066F" w14:textId="7D0AEE3B" w:rsidR="00DA1B1D" w:rsidRPr="00731752" w:rsidRDefault="00DA1B1D" w:rsidP="00731752">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£175,000</w:t>
            </w:r>
          </w:p>
        </w:tc>
        <w:tc>
          <w:tcPr>
            <w:tcW w:w="2977" w:type="dxa"/>
          </w:tcPr>
          <w:p w14:paraId="71945D96" w14:textId="77777777" w:rsidR="00DF12F1" w:rsidRPr="00DF12F1" w:rsidRDefault="00DF12F1" w:rsidP="00731752">
            <w:pPr>
              <w:pStyle w:val="NoSpacing"/>
              <w:jc w:val="center"/>
              <w:rPr>
                <w:rFonts w:ascii="Times New Roman" w:hAnsi="Times New Roman" w:cs="Times New Roman"/>
                <w:spacing w:val="5"/>
                <w:sz w:val="10"/>
                <w:szCs w:val="10"/>
              </w:rPr>
            </w:pPr>
          </w:p>
          <w:p w14:paraId="634ED10D" w14:textId="7FDD8DC3" w:rsidR="00DA1B1D" w:rsidRPr="00731752" w:rsidRDefault="00DA1B1D" w:rsidP="00731752">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£175,000</w:t>
            </w:r>
          </w:p>
        </w:tc>
        <w:tc>
          <w:tcPr>
            <w:tcW w:w="1701" w:type="dxa"/>
            <w:vMerge/>
          </w:tcPr>
          <w:p w14:paraId="61B6BBF5" w14:textId="77777777" w:rsidR="00DA1B1D" w:rsidRPr="00731752" w:rsidRDefault="00DA1B1D" w:rsidP="00731752">
            <w:pPr>
              <w:pStyle w:val="NoSpacing"/>
              <w:jc w:val="center"/>
              <w:rPr>
                <w:rFonts w:ascii="Times New Roman" w:hAnsi="Times New Roman" w:cs="Times New Roman"/>
                <w:bCs/>
                <w:sz w:val="20"/>
                <w:szCs w:val="20"/>
                <w:lang w:val="en" w:eastAsia="en-GB"/>
              </w:rPr>
            </w:pPr>
          </w:p>
        </w:tc>
      </w:tr>
      <w:tr w:rsidR="00DA1B1D" w14:paraId="3991685D" w14:textId="77777777" w:rsidTr="00020EBD">
        <w:tc>
          <w:tcPr>
            <w:tcW w:w="2977" w:type="dxa"/>
          </w:tcPr>
          <w:p w14:paraId="0088CB71" w14:textId="02C6D0F8" w:rsidR="00DA1B1D" w:rsidRPr="00EB7630" w:rsidRDefault="00DA1B1D" w:rsidP="00DA1B1D">
            <w:pPr>
              <w:pStyle w:val="NoSpacing"/>
              <w:rPr>
                <w:rFonts w:ascii="Times New Roman" w:hAnsi="Times New Roman" w:cs="Times New Roman"/>
                <w:color w:val="333333"/>
                <w:spacing w:val="5"/>
                <w:sz w:val="20"/>
                <w:szCs w:val="20"/>
              </w:rPr>
            </w:pPr>
            <w:r w:rsidRPr="00EB7630">
              <w:rPr>
                <w:rFonts w:ascii="Times New Roman" w:hAnsi="Times New Roman" w:cs="Times New Roman"/>
                <w:color w:val="333333"/>
                <w:spacing w:val="5"/>
                <w:sz w:val="20"/>
                <w:szCs w:val="20"/>
              </w:rPr>
              <w:t>Rate (estates)</w:t>
            </w:r>
          </w:p>
        </w:tc>
        <w:tc>
          <w:tcPr>
            <w:tcW w:w="2977" w:type="dxa"/>
          </w:tcPr>
          <w:p w14:paraId="1AF161E7" w14:textId="204B7DD5" w:rsidR="00DA1B1D" w:rsidRPr="00731752" w:rsidRDefault="00DA1B1D" w:rsidP="00731752">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40%</w:t>
            </w:r>
          </w:p>
        </w:tc>
        <w:tc>
          <w:tcPr>
            <w:tcW w:w="2977" w:type="dxa"/>
          </w:tcPr>
          <w:p w14:paraId="3945A912" w14:textId="0B270FA7" w:rsidR="00DA1B1D" w:rsidRPr="00731752" w:rsidRDefault="00DA1B1D" w:rsidP="00731752">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40%</w:t>
            </w:r>
          </w:p>
        </w:tc>
        <w:tc>
          <w:tcPr>
            <w:tcW w:w="1701" w:type="dxa"/>
            <w:vMerge/>
          </w:tcPr>
          <w:p w14:paraId="4073E7D3" w14:textId="77777777" w:rsidR="00DA1B1D" w:rsidRPr="00731752" w:rsidRDefault="00DA1B1D" w:rsidP="00731752">
            <w:pPr>
              <w:pStyle w:val="NoSpacing"/>
              <w:jc w:val="center"/>
              <w:rPr>
                <w:rFonts w:ascii="Times New Roman" w:hAnsi="Times New Roman" w:cs="Times New Roman"/>
                <w:bCs/>
                <w:sz w:val="20"/>
                <w:szCs w:val="20"/>
                <w:lang w:val="en" w:eastAsia="en-GB"/>
              </w:rPr>
            </w:pPr>
          </w:p>
        </w:tc>
      </w:tr>
      <w:tr w:rsidR="00DA1B1D" w14:paraId="6DA09592" w14:textId="77777777" w:rsidTr="00020EBD">
        <w:tc>
          <w:tcPr>
            <w:tcW w:w="2977" w:type="dxa"/>
          </w:tcPr>
          <w:p w14:paraId="1A5D820B" w14:textId="36A94217" w:rsidR="00DA1B1D" w:rsidRPr="00EB7630" w:rsidRDefault="00DA1B1D" w:rsidP="00DA1B1D">
            <w:pPr>
              <w:pStyle w:val="NoSpacing"/>
              <w:rPr>
                <w:rFonts w:ascii="Times New Roman" w:hAnsi="Times New Roman" w:cs="Times New Roman"/>
                <w:color w:val="333333"/>
                <w:spacing w:val="5"/>
                <w:sz w:val="20"/>
                <w:szCs w:val="20"/>
              </w:rPr>
            </w:pPr>
            <w:r w:rsidRPr="00EB7630">
              <w:rPr>
                <w:rFonts w:ascii="Times New Roman" w:hAnsi="Times New Roman" w:cs="Times New Roman"/>
                <w:color w:val="333333"/>
                <w:spacing w:val="5"/>
                <w:sz w:val="20"/>
                <w:szCs w:val="20"/>
              </w:rPr>
              <w:t>Reduced rate (10% of estate to charity)</w:t>
            </w:r>
          </w:p>
        </w:tc>
        <w:tc>
          <w:tcPr>
            <w:tcW w:w="2977" w:type="dxa"/>
          </w:tcPr>
          <w:p w14:paraId="0609072D" w14:textId="77777777" w:rsidR="000E4ADE" w:rsidRPr="000E4ADE" w:rsidRDefault="000E4ADE" w:rsidP="00731752">
            <w:pPr>
              <w:pStyle w:val="NoSpacing"/>
              <w:jc w:val="center"/>
              <w:rPr>
                <w:rFonts w:ascii="Times New Roman" w:hAnsi="Times New Roman" w:cs="Times New Roman"/>
                <w:spacing w:val="5"/>
                <w:sz w:val="10"/>
                <w:szCs w:val="10"/>
              </w:rPr>
            </w:pPr>
          </w:p>
          <w:p w14:paraId="105293B3" w14:textId="6D5C3924" w:rsidR="00DA1B1D" w:rsidRPr="00731752" w:rsidRDefault="00DA1B1D" w:rsidP="00731752">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36%</w:t>
            </w:r>
          </w:p>
        </w:tc>
        <w:tc>
          <w:tcPr>
            <w:tcW w:w="2977" w:type="dxa"/>
          </w:tcPr>
          <w:p w14:paraId="3CEB77D7" w14:textId="77777777" w:rsidR="000E4ADE" w:rsidRPr="000E4ADE" w:rsidRDefault="000E4ADE" w:rsidP="00731752">
            <w:pPr>
              <w:pStyle w:val="NoSpacing"/>
              <w:jc w:val="center"/>
              <w:rPr>
                <w:rFonts w:ascii="Times New Roman" w:hAnsi="Times New Roman" w:cs="Times New Roman"/>
                <w:spacing w:val="5"/>
                <w:sz w:val="10"/>
                <w:szCs w:val="10"/>
              </w:rPr>
            </w:pPr>
          </w:p>
          <w:p w14:paraId="4AF8FA3E" w14:textId="36FDAD3B" w:rsidR="00DA1B1D" w:rsidRPr="00731752" w:rsidRDefault="00DA1B1D" w:rsidP="00731752">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36%</w:t>
            </w:r>
          </w:p>
        </w:tc>
        <w:tc>
          <w:tcPr>
            <w:tcW w:w="1701" w:type="dxa"/>
            <w:vMerge/>
          </w:tcPr>
          <w:p w14:paraId="4CA4E98D" w14:textId="77777777" w:rsidR="00DA1B1D" w:rsidRPr="00731752" w:rsidRDefault="00DA1B1D" w:rsidP="00731752">
            <w:pPr>
              <w:pStyle w:val="NoSpacing"/>
              <w:jc w:val="center"/>
              <w:rPr>
                <w:rFonts w:ascii="Times New Roman" w:hAnsi="Times New Roman" w:cs="Times New Roman"/>
                <w:bCs/>
                <w:sz w:val="20"/>
                <w:szCs w:val="20"/>
                <w:lang w:val="en" w:eastAsia="en-GB"/>
              </w:rPr>
            </w:pPr>
          </w:p>
        </w:tc>
      </w:tr>
      <w:tr w:rsidR="00DA1B1D" w14:paraId="1BFE0998" w14:textId="77777777" w:rsidTr="00020EBD">
        <w:tc>
          <w:tcPr>
            <w:tcW w:w="2977" w:type="dxa"/>
          </w:tcPr>
          <w:p w14:paraId="1A2DAD11" w14:textId="744DF316" w:rsidR="00DA1B1D" w:rsidRPr="00EB7630" w:rsidRDefault="00DA1B1D" w:rsidP="00DA1B1D">
            <w:pPr>
              <w:pStyle w:val="NoSpacing"/>
              <w:rPr>
                <w:rFonts w:ascii="Times New Roman" w:hAnsi="Times New Roman" w:cs="Times New Roman"/>
                <w:color w:val="333333"/>
                <w:spacing w:val="5"/>
                <w:sz w:val="20"/>
                <w:szCs w:val="20"/>
              </w:rPr>
            </w:pPr>
            <w:r w:rsidRPr="00EB7630">
              <w:rPr>
                <w:rFonts w:ascii="Times New Roman" w:hAnsi="Times New Roman" w:cs="Times New Roman"/>
                <w:color w:val="333333"/>
                <w:spacing w:val="5"/>
                <w:sz w:val="20"/>
                <w:szCs w:val="20"/>
              </w:rPr>
              <w:t>Lifetime Rate (CLTs)</w:t>
            </w:r>
          </w:p>
        </w:tc>
        <w:tc>
          <w:tcPr>
            <w:tcW w:w="2977" w:type="dxa"/>
          </w:tcPr>
          <w:p w14:paraId="655516B4" w14:textId="6D739909" w:rsidR="00DA1B1D" w:rsidRPr="00731752" w:rsidRDefault="00DA1B1D" w:rsidP="00731752">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20%</w:t>
            </w:r>
          </w:p>
        </w:tc>
        <w:tc>
          <w:tcPr>
            <w:tcW w:w="2977" w:type="dxa"/>
          </w:tcPr>
          <w:p w14:paraId="0C54D3B5" w14:textId="06C2ECD4" w:rsidR="00DA1B1D" w:rsidRPr="00731752" w:rsidRDefault="00DA1B1D" w:rsidP="00731752">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20%</w:t>
            </w:r>
          </w:p>
        </w:tc>
        <w:tc>
          <w:tcPr>
            <w:tcW w:w="1701" w:type="dxa"/>
            <w:vMerge/>
          </w:tcPr>
          <w:p w14:paraId="2D4A71D7" w14:textId="77777777" w:rsidR="00DA1B1D" w:rsidRPr="00731752" w:rsidRDefault="00DA1B1D" w:rsidP="00731752">
            <w:pPr>
              <w:pStyle w:val="NoSpacing"/>
              <w:jc w:val="center"/>
              <w:rPr>
                <w:rFonts w:ascii="Times New Roman" w:hAnsi="Times New Roman" w:cs="Times New Roman"/>
                <w:bCs/>
                <w:sz w:val="20"/>
                <w:szCs w:val="20"/>
                <w:lang w:val="en" w:eastAsia="en-GB"/>
              </w:rPr>
            </w:pPr>
          </w:p>
        </w:tc>
      </w:tr>
      <w:tr w:rsidR="00020EBD" w14:paraId="43D85B80" w14:textId="77777777" w:rsidTr="00DC6C02">
        <w:tc>
          <w:tcPr>
            <w:tcW w:w="10632" w:type="dxa"/>
            <w:gridSpan w:val="4"/>
            <w:shd w:val="clear" w:color="auto" w:fill="F2F2F2" w:themeFill="background1" w:themeFillShade="F2"/>
          </w:tcPr>
          <w:p w14:paraId="042CC042" w14:textId="4A79AD6F" w:rsidR="00020EBD" w:rsidRPr="00731752" w:rsidRDefault="00020EBD" w:rsidP="00020EBD">
            <w:pPr>
              <w:pStyle w:val="NoSpacing"/>
              <w:rPr>
                <w:rFonts w:ascii="Times New Roman" w:hAnsi="Times New Roman" w:cs="Times New Roman"/>
                <w:bCs/>
                <w:sz w:val="20"/>
                <w:szCs w:val="20"/>
                <w:lang w:val="en" w:eastAsia="en-GB"/>
              </w:rPr>
            </w:pPr>
            <w:r w:rsidRPr="00EB7630">
              <w:rPr>
                <w:rFonts w:ascii="Times New Roman" w:hAnsi="Times New Roman" w:cs="Times New Roman"/>
                <w:b/>
                <w:bCs/>
                <w:color w:val="333333"/>
                <w:spacing w:val="5"/>
                <w:sz w:val="20"/>
                <w:szCs w:val="20"/>
              </w:rPr>
              <w:t>Business / Agricultural Relief</w:t>
            </w:r>
          </w:p>
        </w:tc>
      </w:tr>
      <w:tr w:rsidR="006C2545" w14:paraId="37483858" w14:textId="77777777" w:rsidTr="00020EBD">
        <w:tc>
          <w:tcPr>
            <w:tcW w:w="2977" w:type="dxa"/>
          </w:tcPr>
          <w:p w14:paraId="5E3B07D4" w14:textId="682580CF" w:rsidR="006C2545" w:rsidRPr="00EB7630" w:rsidRDefault="006C2545" w:rsidP="006C2545">
            <w:pPr>
              <w:pStyle w:val="NoSpacing"/>
              <w:rPr>
                <w:rFonts w:ascii="Times New Roman" w:hAnsi="Times New Roman" w:cs="Times New Roman"/>
                <w:color w:val="333333"/>
                <w:spacing w:val="5"/>
                <w:sz w:val="20"/>
                <w:szCs w:val="20"/>
              </w:rPr>
            </w:pPr>
            <w:r w:rsidRPr="00EB7630">
              <w:rPr>
                <w:rFonts w:ascii="Times New Roman" w:hAnsi="Times New Roman" w:cs="Times New Roman"/>
                <w:color w:val="333333"/>
                <w:spacing w:val="5"/>
                <w:sz w:val="20"/>
                <w:szCs w:val="20"/>
              </w:rPr>
              <w:t>Limit for 100% relief</w:t>
            </w:r>
          </w:p>
        </w:tc>
        <w:tc>
          <w:tcPr>
            <w:tcW w:w="2977" w:type="dxa"/>
          </w:tcPr>
          <w:p w14:paraId="19A8310D" w14:textId="3D021103" w:rsidR="006C2545" w:rsidRPr="00731752" w:rsidRDefault="006C2545" w:rsidP="006C2545">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£1,000,000</w:t>
            </w:r>
          </w:p>
        </w:tc>
        <w:tc>
          <w:tcPr>
            <w:tcW w:w="2977" w:type="dxa"/>
          </w:tcPr>
          <w:p w14:paraId="646E7BD0" w14:textId="732C273D" w:rsidR="006C2545" w:rsidRPr="00731752" w:rsidRDefault="006C2545" w:rsidP="006C2545">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£1,000,000</w:t>
            </w:r>
          </w:p>
        </w:tc>
        <w:tc>
          <w:tcPr>
            <w:tcW w:w="1701" w:type="dxa"/>
            <w:vMerge w:val="restart"/>
          </w:tcPr>
          <w:p w14:paraId="7D90CE53" w14:textId="77777777" w:rsidR="006C2545" w:rsidRPr="00731752" w:rsidRDefault="006C2545" w:rsidP="006C2545">
            <w:pPr>
              <w:pStyle w:val="NoSpacing"/>
              <w:jc w:val="center"/>
              <w:rPr>
                <w:rFonts w:ascii="Times New Roman" w:hAnsi="Times New Roman" w:cs="Times New Roman"/>
                <w:bCs/>
                <w:sz w:val="20"/>
                <w:szCs w:val="20"/>
                <w:lang w:val="en" w:eastAsia="en-GB"/>
              </w:rPr>
            </w:pPr>
          </w:p>
        </w:tc>
      </w:tr>
      <w:tr w:rsidR="006C2545" w14:paraId="29170BBF" w14:textId="77777777" w:rsidTr="00020EBD">
        <w:tc>
          <w:tcPr>
            <w:tcW w:w="2977" w:type="dxa"/>
          </w:tcPr>
          <w:p w14:paraId="68A65AEA" w14:textId="25CB154E" w:rsidR="006C2545" w:rsidRPr="00EB7630" w:rsidRDefault="006C2545" w:rsidP="006C2545">
            <w:pPr>
              <w:pStyle w:val="NoSpacing"/>
              <w:rPr>
                <w:rFonts w:ascii="Times New Roman" w:hAnsi="Times New Roman" w:cs="Times New Roman"/>
                <w:color w:val="333333"/>
                <w:spacing w:val="5"/>
                <w:sz w:val="20"/>
                <w:szCs w:val="20"/>
              </w:rPr>
            </w:pPr>
            <w:r w:rsidRPr="00EB7630">
              <w:rPr>
                <w:rFonts w:ascii="Times New Roman" w:hAnsi="Times New Roman" w:cs="Times New Roman"/>
                <w:color w:val="333333"/>
                <w:spacing w:val="5"/>
                <w:sz w:val="20"/>
                <w:szCs w:val="20"/>
              </w:rPr>
              <w:t>Rate applicable over relief limit</w:t>
            </w:r>
          </w:p>
        </w:tc>
        <w:tc>
          <w:tcPr>
            <w:tcW w:w="2977" w:type="dxa"/>
          </w:tcPr>
          <w:p w14:paraId="50FA9FC5" w14:textId="0274086A" w:rsidR="006C2545" w:rsidRPr="00731752" w:rsidRDefault="006C2545" w:rsidP="006C2545">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20%</w:t>
            </w:r>
          </w:p>
        </w:tc>
        <w:tc>
          <w:tcPr>
            <w:tcW w:w="2977" w:type="dxa"/>
          </w:tcPr>
          <w:p w14:paraId="39D01D76" w14:textId="5CA7D7F1" w:rsidR="006C2545" w:rsidRPr="00731752" w:rsidRDefault="006C2545" w:rsidP="006C2545">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20%</w:t>
            </w:r>
          </w:p>
        </w:tc>
        <w:tc>
          <w:tcPr>
            <w:tcW w:w="1701" w:type="dxa"/>
            <w:vMerge/>
          </w:tcPr>
          <w:p w14:paraId="000709FE" w14:textId="77777777" w:rsidR="006C2545" w:rsidRPr="00731752" w:rsidRDefault="006C2545" w:rsidP="006C2545">
            <w:pPr>
              <w:pStyle w:val="NoSpacing"/>
              <w:jc w:val="center"/>
              <w:rPr>
                <w:rFonts w:ascii="Times New Roman" w:hAnsi="Times New Roman" w:cs="Times New Roman"/>
                <w:bCs/>
                <w:sz w:val="20"/>
                <w:szCs w:val="20"/>
                <w:lang w:val="en" w:eastAsia="en-GB"/>
              </w:rPr>
            </w:pPr>
          </w:p>
        </w:tc>
      </w:tr>
      <w:tr w:rsidR="00020EBD" w14:paraId="2CF17EBE" w14:textId="77777777" w:rsidTr="00BC7019">
        <w:tc>
          <w:tcPr>
            <w:tcW w:w="10632" w:type="dxa"/>
            <w:gridSpan w:val="4"/>
            <w:shd w:val="clear" w:color="auto" w:fill="F2F2F2" w:themeFill="background1" w:themeFillShade="F2"/>
          </w:tcPr>
          <w:p w14:paraId="2D9E4CB5" w14:textId="170AA252" w:rsidR="00020EBD" w:rsidRPr="00020EBD" w:rsidRDefault="00020EBD" w:rsidP="00020EBD">
            <w:pPr>
              <w:pStyle w:val="NoSpacing"/>
              <w:rPr>
                <w:rFonts w:ascii="Times New Roman" w:hAnsi="Times New Roman" w:cs="Times New Roman"/>
                <w:b/>
                <w:bCs/>
                <w:sz w:val="20"/>
                <w:szCs w:val="20"/>
                <w:lang w:val="en" w:eastAsia="en-GB"/>
              </w:rPr>
            </w:pPr>
            <w:r w:rsidRPr="00020EBD">
              <w:rPr>
                <w:rFonts w:ascii="Times New Roman" w:hAnsi="Times New Roman" w:cs="Times New Roman"/>
                <w:b/>
                <w:bCs/>
                <w:color w:val="333333"/>
                <w:spacing w:val="5"/>
                <w:sz w:val="20"/>
                <w:szCs w:val="20"/>
              </w:rPr>
              <w:t xml:space="preserve">Income </w:t>
            </w:r>
            <w:r w:rsidR="007F5963">
              <w:rPr>
                <w:rFonts w:ascii="Times New Roman" w:hAnsi="Times New Roman" w:cs="Times New Roman"/>
                <w:b/>
                <w:bCs/>
                <w:color w:val="333333"/>
                <w:spacing w:val="5"/>
                <w:sz w:val="20"/>
                <w:szCs w:val="20"/>
              </w:rPr>
              <w:t>T</w:t>
            </w:r>
            <w:r w:rsidRPr="00020EBD">
              <w:rPr>
                <w:rFonts w:ascii="Times New Roman" w:hAnsi="Times New Roman" w:cs="Times New Roman"/>
                <w:b/>
                <w:bCs/>
                <w:color w:val="333333"/>
                <w:spacing w:val="5"/>
                <w:sz w:val="20"/>
                <w:szCs w:val="20"/>
              </w:rPr>
              <w:t xml:space="preserve">ax </w:t>
            </w:r>
            <w:r w:rsidR="00104E2E">
              <w:rPr>
                <w:rFonts w:ascii="Times New Roman" w:hAnsi="Times New Roman" w:cs="Times New Roman"/>
                <w:b/>
                <w:bCs/>
                <w:color w:val="333333"/>
                <w:spacing w:val="5"/>
                <w:sz w:val="20"/>
                <w:szCs w:val="20"/>
              </w:rPr>
              <w:t>B</w:t>
            </w:r>
            <w:r w:rsidRPr="00020EBD">
              <w:rPr>
                <w:rFonts w:ascii="Times New Roman" w:hAnsi="Times New Roman" w:cs="Times New Roman"/>
                <w:b/>
                <w:bCs/>
                <w:color w:val="333333"/>
                <w:spacing w:val="5"/>
                <w:sz w:val="20"/>
                <w:szCs w:val="20"/>
              </w:rPr>
              <w:t>ands (Trusts)</w:t>
            </w:r>
          </w:p>
        </w:tc>
      </w:tr>
      <w:tr w:rsidR="00DA1B1D" w14:paraId="66595C68" w14:textId="77777777" w:rsidTr="00020EBD">
        <w:tc>
          <w:tcPr>
            <w:tcW w:w="2977" w:type="dxa"/>
          </w:tcPr>
          <w:p w14:paraId="42E0C095" w14:textId="77777777" w:rsidR="00104E2E" w:rsidRPr="00104E2E" w:rsidRDefault="00104E2E" w:rsidP="00DA1B1D">
            <w:pPr>
              <w:pStyle w:val="NoSpacing"/>
              <w:rPr>
                <w:rFonts w:ascii="Times New Roman" w:hAnsi="Times New Roman" w:cs="Times New Roman"/>
                <w:color w:val="333333"/>
                <w:spacing w:val="5"/>
                <w:sz w:val="10"/>
                <w:szCs w:val="10"/>
              </w:rPr>
            </w:pPr>
          </w:p>
          <w:p w14:paraId="47980156" w14:textId="212C7DBF" w:rsidR="00DA1B1D" w:rsidRPr="00EB7630" w:rsidRDefault="00DA1B1D" w:rsidP="00DA1B1D">
            <w:pPr>
              <w:pStyle w:val="NoSpacing"/>
              <w:rPr>
                <w:rFonts w:ascii="Times New Roman" w:hAnsi="Times New Roman" w:cs="Times New Roman"/>
                <w:color w:val="333333"/>
                <w:spacing w:val="5"/>
                <w:sz w:val="20"/>
                <w:szCs w:val="20"/>
              </w:rPr>
            </w:pPr>
            <w:r w:rsidRPr="00EB7630">
              <w:rPr>
                <w:rFonts w:ascii="Times New Roman" w:hAnsi="Times New Roman" w:cs="Times New Roman"/>
                <w:color w:val="333333"/>
                <w:spacing w:val="5"/>
                <w:sz w:val="20"/>
                <w:szCs w:val="20"/>
              </w:rPr>
              <w:t>Standard rate band</w:t>
            </w:r>
          </w:p>
        </w:tc>
        <w:tc>
          <w:tcPr>
            <w:tcW w:w="2977" w:type="dxa"/>
          </w:tcPr>
          <w:p w14:paraId="2D781091" w14:textId="52C71F9B" w:rsidR="00DA1B1D" w:rsidRPr="00731752" w:rsidRDefault="00104E2E" w:rsidP="00731752">
            <w:pPr>
              <w:pStyle w:val="NoSpacing"/>
              <w:jc w:val="center"/>
              <w:rPr>
                <w:rFonts w:ascii="Times New Roman" w:hAnsi="Times New Roman" w:cs="Times New Roman"/>
                <w:spacing w:val="5"/>
                <w:sz w:val="20"/>
                <w:szCs w:val="20"/>
              </w:rPr>
            </w:pPr>
            <w:r>
              <w:rPr>
                <w:rFonts w:ascii="Times New Roman" w:hAnsi="Times New Roman" w:cs="Times New Roman"/>
                <w:spacing w:val="5"/>
                <w:sz w:val="20"/>
                <w:szCs w:val="20"/>
              </w:rPr>
              <w:t>Not applicable, but tax free if total trust income is below £500</w:t>
            </w:r>
          </w:p>
        </w:tc>
        <w:tc>
          <w:tcPr>
            <w:tcW w:w="2977" w:type="dxa"/>
          </w:tcPr>
          <w:p w14:paraId="722059B9" w14:textId="5B902B83" w:rsidR="00DA1B1D" w:rsidRPr="00731752" w:rsidRDefault="00104E2E" w:rsidP="00731752">
            <w:pPr>
              <w:pStyle w:val="NoSpacing"/>
              <w:jc w:val="center"/>
              <w:rPr>
                <w:rFonts w:ascii="Times New Roman" w:hAnsi="Times New Roman" w:cs="Times New Roman"/>
                <w:spacing w:val="5"/>
                <w:sz w:val="20"/>
                <w:szCs w:val="20"/>
              </w:rPr>
            </w:pPr>
            <w:r>
              <w:rPr>
                <w:rFonts w:ascii="Times New Roman" w:hAnsi="Times New Roman" w:cs="Times New Roman"/>
                <w:spacing w:val="5"/>
                <w:sz w:val="20"/>
                <w:szCs w:val="20"/>
              </w:rPr>
              <w:t>Not applicable, but tax free if total trust income is below £500</w:t>
            </w:r>
          </w:p>
        </w:tc>
        <w:tc>
          <w:tcPr>
            <w:tcW w:w="1701" w:type="dxa"/>
          </w:tcPr>
          <w:p w14:paraId="5E1F003F" w14:textId="77777777" w:rsidR="00DA1B1D" w:rsidRPr="00731752" w:rsidRDefault="00DA1B1D" w:rsidP="00731752">
            <w:pPr>
              <w:pStyle w:val="NoSpacing"/>
              <w:jc w:val="center"/>
              <w:rPr>
                <w:rFonts w:ascii="Times New Roman" w:hAnsi="Times New Roman" w:cs="Times New Roman"/>
                <w:bCs/>
                <w:sz w:val="20"/>
                <w:szCs w:val="20"/>
                <w:lang w:val="en" w:eastAsia="en-GB"/>
              </w:rPr>
            </w:pPr>
          </w:p>
        </w:tc>
      </w:tr>
      <w:tr w:rsidR="00020EBD" w14:paraId="33A3696D" w14:textId="77777777" w:rsidTr="003F55D9">
        <w:tc>
          <w:tcPr>
            <w:tcW w:w="10632" w:type="dxa"/>
            <w:gridSpan w:val="4"/>
            <w:shd w:val="clear" w:color="auto" w:fill="F2F2F2" w:themeFill="background1" w:themeFillShade="F2"/>
          </w:tcPr>
          <w:p w14:paraId="0F61BD2F" w14:textId="7B32B4C3" w:rsidR="00020EBD" w:rsidRPr="00020EBD" w:rsidRDefault="00020EBD" w:rsidP="00020EBD">
            <w:pPr>
              <w:pStyle w:val="NoSpacing"/>
              <w:rPr>
                <w:rFonts w:ascii="Times New Roman" w:hAnsi="Times New Roman" w:cs="Times New Roman"/>
                <w:b/>
                <w:bCs/>
                <w:sz w:val="20"/>
                <w:szCs w:val="20"/>
                <w:lang w:val="en" w:eastAsia="en-GB"/>
              </w:rPr>
            </w:pPr>
            <w:r w:rsidRPr="00020EBD">
              <w:rPr>
                <w:rFonts w:ascii="Times New Roman" w:hAnsi="Times New Roman" w:cs="Times New Roman"/>
                <w:b/>
                <w:bCs/>
                <w:color w:val="333333"/>
                <w:spacing w:val="5"/>
                <w:sz w:val="20"/>
                <w:szCs w:val="20"/>
              </w:rPr>
              <w:t xml:space="preserve">Income </w:t>
            </w:r>
            <w:r w:rsidR="007F5963">
              <w:rPr>
                <w:rFonts w:ascii="Times New Roman" w:hAnsi="Times New Roman" w:cs="Times New Roman"/>
                <w:b/>
                <w:bCs/>
                <w:color w:val="333333"/>
                <w:spacing w:val="5"/>
                <w:sz w:val="20"/>
                <w:szCs w:val="20"/>
              </w:rPr>
              <w:t>T</w:t>
            </w:r>
            <w:r w:rsidRPr="00020EBD">
              <w:rPr>
                <w:rFonts w:ascii="Times New Roman" w:hAnsi="Times New Roman" w:cs="Times New Roman"/>
                <w:b/>
                <w:bCs/>
                <w:color w:val="333333"/>
                <w:spacing w:val="5"/>
                <w:sz w:val="20"/>
                <w:szCs w:val="20"/>
              </w:rPr>
              <w:t xml:space="preserve">ax </w:t>
            </w:r>
            <w:r w:rsidR="00104E2E">
              <w:rPr>
                <w:rFonts w:ascii="Times New Roman" w:hAnsi="Times New Roman" w:cs="Times New Roman"/>
                <w:b/>
                <w:bCs/>
                <w:color w:val="333333"/>
                <w:spacing w:val="5"/>
                <w:sz w:val="20"/>
                <w:szCs w:val="20"/>
              </w:rPr>
              <w:t>R</w:t>
            </w:r>
            <w:r w:rsidRPr="00020EBD">
              <w:rPr>
                <w:rFonts w:ascii="Times New Roman" w:hAnsi="Times New Roman" w:cs="Times New Roman"/>
                <w:b/>
                <w:bCs/>
                <w:color w:val="333333"/>
                <w:spacing w:val="5"/>
                <w:sz w:val="20"/>
                <w:szCs w:val="20"/>
              </w:rPr>
              <w:t>ates (Trusts)</w:t>
            </w:r>
          </w:p>
        </w:tc>
      </w:tr>
      <w:tr w:rsidR="006C2545" w14:paraId="6C80E733" w14:textId="77777777" w:rsidTr="00020EBD">
        <w:tc>
          <w:tcPr>
            <w:tcW w:w="2977" w:type="dxa"/>
          </w:tcPr>
          <w:p w14:paraId="1F103AAA" w14:textId="39D785D2" w:rsidR="006C2545" w:rsidRPr="00EB7630" w:rsidRDefault="006C2545" w:rsidP="00AC0550">
            <w:pPr>
              <w:pStyle w:val="NoSpacing"/>
              <w:rPr>
                <w:rFonts w:ascii="Times New Roman" w:hAnsi="Times New Roman" w:cs="Times New Roman"/>
                <w:color w:val="333333"/>
                <w:spacing w:val="5"/>
                <w:sz w:val="20"/>
                <w:szCs w:val="20"/>
              </w:rPr>
            </w:pPr>
            <w:r w:rsidRPr="00EB7630">
              <w:rPr>
                <w:rFonts w:ascii="Times New Roman" w:hAnsi="Times New Roman" w:cs="Times New Roman"/>
                <w:color w:val="333333"/>
                <w:spacing w:val="5"/>
                <w:sz w:val="20"/>
                <w:szCs w:val="20"/>
              </w:rPr>
              <w:t>Trust main rate</w:t>
            </w:r>
          </w:p>
        </w:tc>
        <w:tc>
          <w:tcPr>
            <w:tcW w:w="2977" w:type="dxa"/>
          </w:tcPr>
          <w:p w14:paraId="4CA74AD9" w14:textId="1C359F29" w:rsidR="006C2545" w:rsidRPr="00731752" w:rsidRDefault="006C2545" w:rsidP="00731752">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45%</w:t>
            </w:r>
          </w:p>
        </w:tc>
        <w:tc>
          <w:tcPr>
            <w:tcW w:w="2977" w:type="dxa"/>
          </w:tcPr>
          <w:p w14:paraId="48EF3E6C" w14:textId="5027A184" w:rsidR="006C2545" w:rsidRPr="00731752" w:rsidRDefault="006C2545" w:rsidP="00731752">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45%</w:t>
            </w:r>
          </w:p>
        </w:tc>
        <w:tc>
          <w:tcPr>
            <w:tcW w:w="1701" w:type="dxa"/>
            <w:vMerge w:val="restart"/>
          </w:tcPr>
          <w:p w14:paraId="1D3A9C0A" w14:textId="77777777" w:rsidR="006C2545" w:rsidRPr="00731752" w:rsidRDefault="006C2545" w:rsidP="00731752">
            <w:pPr>
              <w:pStyle w:val="NoSpacing"/>
              <w:jc w:val="center"/>
              <w:rPr>
                <w:rFonts w:ascii="Times New Roman" w:hAnsi="Times New Roman" w:cs="Times New Roman"/>
                <w:bCs/>
                <w:sz w:val="20"/>
                <w:szCs w:val="20"/>
                <w:lang w:val="en" w:eastAsia="en-GB"/>
              </w:rPr>
            </w:pPr>
          </w:p>
        </w:tc>
      </w:tr>
      <w:tr w:rsidR="006C2545" w14:paraId="4747EC3A" w14:textId="77777777" w:rsidTr="00020EBD">
        <w:tc>
          <w:tcPr>
            <w:tcW w:w="2977" w:type="dxa"/>
          </w:tcPr>
          <w:p w14:paraId="283278E1" w14:textId="7697A89C" w:rsidR="006C2545" w:rsidRPr="00EB7630" w:rsidRDefault="006C2545" w:rsidP="00AC0550">
            <w:pPr>
              <w:pStyle w:val="NoSpacing"/>
              <w:rPr>
                <w:rFonts w:ascii="Times New Roman" w:hAnsi="Times New Roman" w:cs="Times New Roman"/>
                <w:color w:val="333333"/>
                <w:spacing w:val="5"/>
                <w:sz w:val="20"/>
                <w:szCs w:val="20"/>
              </w:rPr>
            </w:pPr>
            <w:r w:rsidRPr="00EB7630">
              <w:rPr>
                <w:rFonts w:ascii="Times New Roman" w:hAnsi="Times New Roman" w:cs="Times New Roman"/>
                <w:color w:val="333333"/>
                <w:spacing w:val="5"/>
                <w:sz w:val="20"/>
                <w:szCs w:val="20"/>
              </w:rPr>
              <w:t>Trust dividend rate</w:t>
            </w:r>
          </w:p>
        </w:tc>
        <w:tc>
          <w:tcPr>
            <w:tcW w:w="2977" w:type="dxa"/>
          </w:tcPr>
          <w:p w14:paraId="33541233" w14:textId="716BB80C" w:rsidR="006C2545" w:rsidRPr="00731752" w:rsidRDefault="006C2545" w:rsidP="00731752">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39.35%</w:t>
            </w:r>
          </w:p>
        </w:tc>
        <w:tc>
          <w:tcPr>
            <w:tcW w:w="2977" w:type="dxa"/>
          </w:tcPr>
          <w:p w14:paraId="3B4B0CCA" w14:textId="4C80A29D" w:rsidR="006C2545" w:rsidRPr="00731752" w:rsidRDefault="006C2545" w:rsidP="00731752">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39.35%</w:t>
            </w:r>
          </w:p>
        </w:tc>
        <w:tc>
          <w:tcPr>
            <w:tcW w:w="1701" w:type="dxa"/>
            <w:vMerge/>
          </w:tcPr>
          <w:p w14:paraId="49366831" w14:textId="77777777" w:rsidR="006C2545" w:rsidRPr="00731752" w:rsidRDefault="006C2545" w:rsidP="00731752">
            <w:pPr>
              <w:pStyle w:val="NoSpacing"/>
              <w:jc w:val="center"/>
              <w:rPr>
                <w:rFonts w:ascii="Times New Roman" w:hAnsi="Times New Roman" w:cs="Times New Roman"/>
                <w:bCs/>
                <w:sz w:val="20"/>
                <w:szCs w:val="20"/>
                <w:lang w:val="en" w:eastAsia="en-GB"/>
              </w:rPr>
            </w:pPr>
          </w:p>
        </w:tc>
      </w:tr>
      <w:tr w:rsidR="006C2545" w14:paraId="6849B994" w14:textId="77777777" w:rsidTr="00020EBD">
        <w:tc>
          <w:tcPr>
            <w:tcW w:w="2977" w:type="dxa"/>
          </w:tcPr>
          <w:p w14:paraId="2D3E5167" w14:textId="18AC107D" w:rsidR="006C2545" w:rsidRPr="00EB7630" w:rsidRDefault="006C2545" w:rsidP="005B5FB0">
            <w:pPr>
              <w:pStyle w:val="NoSpacing"/>
              <w:rPr>
                <w:rFonts w:ascii="Times New Roman" w:hAnsi="Times New Roman" w:cs="Times New Roman"/>
                <w:color w:val="333333"/>
                <w:spacing w:val="5"/>
                <w:sz w:val="20"/>
                <w:szCs w:val="20"/>
              </w:rPr>
            </w:pPr>
            <w:r w:rsidRPr="00EB7630">
              <w:rPr>
                <w:rFonts w:ascii="Times New Roman" w:hAnsi="Times New Roman" w:cs="Times New Roman"/>
                <w:color w:val="333333"/>
                <w:spacing w:val="5"/>
                <w:sz w:val="20"/>
                <w:szCs w:val="20"/>
              </w:rPr>
              <w:t>0% income tax band:</w:t>
            </w:r>
          </w:p>
        </w:tc>
        <w:tc>
          <w:tcPr>
            <w:tcW w:w="5954" w:type="dxa"/>
            <w:gridSpan w:val="2"/>
          </w:tcPr>
          <w:p w14:paraId="196D2783" w14:textId="40AB5575" w:rsidR="006C2545" w:rsidRPr="00731752" w:rsidRDefault="006C2545" w:rsidP="00731752">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Total income below £500</w:t>
            </w:r>
          </w:p>
        </w:tc>
        <w:tc>
          <w:tcPr>
            <w:tcW w:w="1701" w:type="dxa"/>
            <w:vMerge/>
          </w:tcPr>
          <w:p w14:paraId="0B91828B" w14:textId="77777777" w:rsidR="006C2545" w:rsidRPr="00731752" w:rsidRDefault="006C2545" w:rsidP="00731752">
            <w:pPr>
              <w:pStyle w:val="NoSpacing"/>
              <w:jc w:val="center"/>
              <w:rPr>
                <w:rFonts w:ascii="Times New Roman" w:hAnsi="Times New Roman" w:cs="Times New Roman"/>
                <w:bCs/>
                <w:sz w:val="20"/>
                <w:szCs w:val="20"/>
                <w:lang w:val="en" w:eastAsia="en-GB"/>
              </w:rPr>
            </w:pPr>
          </w:p>
        </w:tc>
      </w:tr>
      <w:tr w:rsidR="00020EBD" w14:paraId="77D8824B" w14:textId="77777777" w:rsidTr="007F5963">
        <w:tc>
          <w:tcPr>
            <w:tcW w:w="10632" w:type="dxa"/>
            <w:gridSpan w:val="4"/>
            <w:shd w:val="clear" w:color="auto" w:fill="F2F2F2" w:themeFill="background1" w:themeFillShade="F2"/>
          </w:tcPr>
          <w:p w14:paraId="56EDB228" w14:textId="3509EFAC" w:rsidR="00020EBD" w:rsidRPr="00731752" w:rsidRDefault="00020EBD" w:rsidP="00020EBD">
            <w:pPr>
              <w:pStyle w:val="NoSpacing"/>
              <w:rPr>
                <w:rFonts w:ascii="Times New Roman" w:hAnsi="Times New Roman" w:cs="Times New Roman"/>
                <w:bCs/>
                <w:sz w:val="20"/>
                <w:szCs w:val="20"/>
                <w:lang w:val="en" w:eastAsia="en-GB"/>
              </w:rPr>
            </w:pPr>
            <w:r w:rsidRPr="00020EBD">
              <w:rPr>
                <w:rFonts w:ascii="Times New Roman" w:hAnsi="Times New Roman" w:cs="Times New Roman"/>
                <w:b/>
                <w:bCs/>
                <w:color w:val="333333"/>
                <w:spacing w:val="5"/>
                <w:sz w:val="20"/>
                <w:szCs w:val="20"/>
              </w:rPr>
              <w:t xml:space="preserve">Capital </w:t>
            </w:r>
            <w:r w:rsidR="007F5963">
              <w:rPr>
                <w:rFonts w:ascii="Times New Roman" w:hAnsi="Times New Roman" w:cs="Times New Roman"/>
                <w:b/>
                <w:bCs/>
                <w:color w:val="333333"/>
                <w:spacing w:val="5"/>
                <w:sz w:val="20"/>
                <w:szCs w:val="20"/>
              </w:rPr>
              <w:t>G</w:t>
            </w:r>
            <w:r w:rsidRPr="00020EBD">
              <w:rPr>
                <w:rFonts w:ascii="Times New Roman" w:hAnsi="Times New Roman" w:cs="Times New Roman"/>
                <w:b/>
                <w:bCs/>
                <w:color w:val="333333"/>
                <w:spacing w:val="5"/>
                <w:sz w:val="20"/>
                <w:szCs w:val="20"/>
              </w:rPr>
              <w:t xml:space="preserve">ains </w:t>
            </w:r>
            <w:r w:rsidR="007F5963">
              <w:rPr>
                <w:rFonts w:ascii="Times New Roman" w:hAnsi="Times New Roman" w:cs="Times New Roman"/>
                <w:b/>
                <w:bCs/>
                <w:color w:val="333333"/>
                <w:spacing w:val="5"/>
                <w:sz w:val="20"/>
                <w:szCs w:val="20"/>
              </w:rPr>
              <w:t>T</w:t>
            </w:r>
            <w:r w:rsidRPr="00020EBD">
              <w:rPr>
                <w:rFonts w:ascii="Times New Roman" w:hAnsi="Times New Roman" w:cs="Times New Roman"/>
                <w:b/>
                <w:bCs/>
                <w:color w:val="333333"/>
                <w:spacing w:val="5"/>
                <w:sz w:val="20"/>
                <w:szCs w:val="20"/>
              </w:rPr>
              <w:t xml:space="preserve">ax </w:t>
            </w:r>
            <w:r w:rsidR="00104E2E">
              <w:rPr>
                <w:rFonts w:ascii="Times New Roman" w:hAnsi="Times New Roman" w:cs="Times New Roman"/>
                <w:b/>
                <w:bCs/>
                <w:color w:val="333333"/>
                <w:spacing w:val="5"/>
                <w:sz w:val="20"/>
                <w:szCs w:val="20"/>
              </w:rPr>
              <w:t>A</w:t>
            </w:r>
            <w:r w:rsidRPr="00020EBD">
              <w:rPr>
                <w:rFonts w:ascii="Times New Roman" w:hAnsi="Times New Roman" w:cs="Times New Roman"/>
                <w:b/>
                <w:bCs/>
                <w:color w:val="333333"/>
                <w:spacing w:val="5"/>
                <w:sz w:val="20"/>
                <w:szCs w:val="20"/>
              </w:rPr>
              <w:t>llowances (Trusts)</w:t>
            </w:r>
          </w:p>
        </w:tc>
      </w:tr>
      <w:tr w:rsidR="00EB7630" w14:paraId="47027840" w14:textId="77777777" w:rsidTr="00020EBD">
        <w:tc>
          <w:tcPr>
            <w:tcW w:w="2977" w:type="dxa"/>
          </w:tcPr>
          <w:p w14:paraId="480B6850" w14:textId="499B69A4" w:rsidR="00EB7630" w:rsidRPr="00EB7630" w:rsidRDefault="00EB7630" w:rsidP="00EB7630">
            <w:pPr>
              <w:pStyle w:val="NoSpacing"/>
              <w:rPr>
                <w:rFonts w:ascii="Times New Roman" w:hAnsi="Times New Roman" w:cs="Times New Roman"/>
                <w:color w:val="333333"/>
                <w:spacing w:val="5"/>
                <w:sz w:val="20"/>
                <w:szCs w:val="20"/>
              </w:rPr>
            </w:pPr>
            <w:r w:rsidRPr="00EB7630">
              <w:rPr>
                <w:rFonts w:ascii="Times New Roman" w:hAnsi="Times New Roman" w:cs="Times New Roman"/>
                <w:color w:val="333333"/>
                <w:spacing w:val="5"/>
                <w:sz w:val="20"/>
                <w:szCs w:val="20"/>
              </w:rPr>
              <w:t>Annual exempt amount</w:t>
            </w:r>
          </w:p>
        </w:tc>
        <w:tc>
          <w:tcPr>
            <w:tcW w:w="2977" w:type="dxa"/>
          </w:tcPr>
          <w:p w14:paraId="78ADA2A5" w14:textId="6A30A406" w:rsidR="00EB7630" w:rsidRPr="00731752" w:rsidRDefault="00EB7630" w:rsidP="00731752">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£3,000</w:t>
            </w:r>
          </w:p>
        </w:tc>
        <w:tc>
          <w:tcPr>
            <w:tcW w:w="2977" w:type="dxa"/>
          </w:tcPr>
          <w:p w14:paraId="38458F20" w14:textId="67116626" w:rsidR="00EB7630" w:rsidRPr="00731752" w:rsidRDefault="00EB7630" w:rsidP="00731752">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£1,500</w:t>
            </w:r>
          </w:p>
        </w:tc>
        <w:tc>
          <w:tcPr>
            <w:tcW w:w="1701" w:type="dxa"/>
          </w:tcPr>
          <w:p w14:paraId="5F9089C7" w14:textId="77777777" w:rsidR="00EB7630" w:rsidRPr="00731752" w:rsidRDefault="00EB7630" w:rsidP="00731752">
            <w:pPr>
              <w:pStyle w:val="NoSpacing"/>
              <w:jc w:val="center"/>
              <w:rPr>
                <w:rFonts w:ascii="Times New Roman" w:hAnsi="Times New Roman" w:cs="Times New Roman"/>
                <w:bCs/>
                <w:sz w:val="20"/>
                <w:szCs w:val="20"/>
                <w:lang w:val="en" w:eastAsia="en-GB"/>
              </w:rPr>
            </w:pPr>
          </w:p>
        </w:tc>
      </w:tr>
      <w:tr w:rsidR="00020EBD" w14:paraId="5AE5D6BC" w14:textId="77777777" w:rsidTr="00081AF6">
        <w:tc>
          <w:tcPr>
            <w:tcW w:w="10632" w:type="dxa"/>
            <w:gridSpan w:val="4"/>
            <w:shd w:val="clear" w:color="auto" w:fill="F2F2F2" w:themeFill="background1" w:themeFillShade="F2"/>
          </w:tcPr>
          <w:p w14:paraId="674EF3A4" w14:textId="7F12A978" w:rsidR="00020EBD" w:rsidRPr="00020EBD" w:rsidRDefault="00020EBD" w:rsidP="00020EBD">
            <w:pPr>
              <w:pStyle w:val="NoSpacing"/>
              <w:rPr>
                <w:rFonts w:ascii="Times New Roman" w:hAnsi="Times New Roman" w:cs="Times New Roman"/>
                <w:b/>
                <w:bCs/>
                <w:sz w:val="20"/>
                <w:szCs w:val="20"/>
                <w:lang w:val="en" w:eastAsia="en-GB"/>
              </w:rPr>
            </w:pPr>
            <w:r w:rsidRPr="00020EBD">
              <w:rPr>
                <w:rFonts w:ascii="Times New Roman" w:hAnsi="Times New Roman" w:cs="Times New Roman"/>
                <w:b/>
                <w:bCs/>
                <w:color w:val="333333"/>
                <w:spacing w:val="5"/>
                <w:sz w:val="20"/>
                <w:szCs w:val="20"/>
              </w:rPr>
              <w:t xml:space="preserve">Capital </w:t>
            </w:r>
            <w:r w:rsidR="007F5963">
              <w:rPr>
                <w:rFonts w:ascii="Times New Roman" w:hAnsi="Times New Roman" w:cs="Times New Roman"/>
                <w:b/>
                <w:bCs/>
                <w:color w:val="333333"/>
                <w:spacing w:val="5"/>
                <w:sz w:val="20"/>
                <w:szCs w:val="20"/>
              </w:rPr>
              <w:t>G</w:t>
            </w:r>
            <w:r w:rsidRPr="00020EBD">
              <w:rPr>
                <w:rFonts w:ascii="Times New Roman" w:hAnsi="Times New Roman" w:cs="Times New Roman"/>
                <w:b/>
                <w:bCs/>
                <w:color w:val="333333"/>
                <w:spacing w:val="5"/>
                <w:sz w:val="20"/>
                <w:szCs w:val="20"/>
              </w:rPr>
              <w:t xml:space="preserve">ains </w:t>
            </w:r>
            <w:r w:rsidR="007F5963">
              <w:rPr>
                <w:rFonts w:ascii="Times New Roman" w:hAnsi="Times New Roman" w:cs="Times New Roman"/>
                <w:b/>
                <w:bCs/>
                <w:color w:val="333333"/>
                <w:spacing w:val="5"/>
                <w:sz w:val="20"/>
                <w:szCs w:val="20"/>
              </w:rPr>
              <w:t>T</w:t>
            </w:r>
            <w:r w:rsidRPr="00020EBD">
              <w:rPr>
                <w:rFonts w:ascii="Times New Roman" w:hAnsi="Times New Roman" w:cs="Times New Roman"/>
                <w:b/>
                <w:bCs/>
                <w:color w:val="333333"/>
                <w:spacing w:val="5"/>
                <w:sz w:val="20"/>
                <w:szCs w:val="20"/>
              </w:rPr>
              <w:t xml:space="preserve">ax </w:t>
            </w:r>
            <w:r w:rsidR="00104E2E">
              <w:rPr>
                <w:rFonts w:ascii="Times New Roman" w:hAnsi="Times New Roman" w:cs="Times New Roman"/>
                <w:b/>
                <w:bCs/>
                <w:color w:val="333333"/>
                <w:spacing w:val="5"/>
                <w:sz w:val="20"/>
                <w:szCs w:val="20"/>
              </w:rPr>
              <w:t>R</w:t>
            </w:r>
            <w:r w:rsidRPr="00020EBD">
              <w:rPr>
                <w:rFonts w:ascii="Times New Roman" w:hAnsi="Times New Roman" w:cs="Times New Roman"/>
                <w:b/>
                <w:bCs/>
                <w:color w:val="333333"/>
                <w:spacing w:val="5"/>
                <w:sz w:val="20"/>
                <w:szCs w:val="20"/>
              </w:rPr>
              <w:t>ates (Trusts)</w:t>
            </w:r>
          </w:p>
        </w:tc>
      </w:tr>
      <w:tr w:rsidR="006C2545" w14:paraId="731941CF" w14:textId="77777777" w:rsidTr="00020EBD">
        <w:tc>
          <w:tcPr>
            <w:tcW w:w="2977" w:type="dxa"/>
          </w:tcPr>
          <w:p w14:paraId="0F672913" w14:textId="7553BCAB" w:rsidR="006C2545" w:rsidRPr="00EB7630" w:rsidRDefault="006C2545" w:rsidP="00EB7630">
            <w:pPr>
              <w:pStyle w:val="NoSpacing"/>
              <w:rPr>
                <w:rFonts w:ascii="Times New Roman" w:hAnsi="Times New Roman" w:cs="Times New Roman"/>
                <w:color w:val="333333"/>
                <w:spacing w:val="5"/>
                <w:sz w:val="20"/>
                <w:szCs w:val="20"/>
              </w:rPr>
            </w:pPr>
            <w:r w:rsidRPr="00EB7630">
              <w:rPr>
                <w:rFonts w:ascii="Times New Roman" w:hAnsi="Times New Roman" w:cs="Times New Roman"/>
                <w:color w:val="333333"/>
                <w:spacing w:val="5"/>
                <w:sz w:val="20"/>
                <w:szCs w:val="20"/>
              </w:rPr>
              <w:t>Main rate</w:t>
            </w:r>
          </w:p>
        </w:tc>
        <w:tc>
          <w:tcPr>
            <w:tcW w:w="2977" w:type="dxa"/>
          </w:tcPr>
          <w:p w14:paraId="039F7A00" w14:textId="2879D58C" w:rsidR="006C2545" w:rsidRPr="00731752" w:rsidRDefault="006C2545" w:rsidP="00731752">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24%</w:t>
            </w:r>
          </w:p>
        </w:tc>
        <w:tc>
          <w:tcPr>
            <w:tcW w:w="2977" w:type="dxa"/>
          </w:tcPr>
          <w:p w14:paraId="1817F90A" w14:textId="65022536" w:rsidR="006C2545" w:rsidRPr="00731752" w:rsidRDefault="006C2545" w:rsidP="00731752">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24%</w:t>
            </w:r>
          </w:p>
        </w:tc>
        <w:tc>
          <w:tcPr>
            <w:tcW w:w="1701" w:type="dxa"/>
            <w:vMerge w:val="restart"/>
          </w:tcPr>
          <w:p w14:paraId="6AB9C075" w14:textId="77777777" w:rsidR="006C2545" w:rsidRPr="00731752" w:rsidRDefault="006C2545" w:rsidP="00731752">
            <w:pPr>
              <w:pStyle w:val="NoSpacing"/>
              <w:jc w:val="center"/>
              <w:rPr>
                <w:rFonts w:ascii="Times New Roman" w:hAnsi="Times New Roman" w:cs="Times New Roman"/>
                <w:bCs/>
                <w:sz w:val="20"/>
                <w:szCs w:val="20"/>
                <w:lang w:val="en" w:eastAsia="en-GB"/>
              </w:rPr>
            </w:pPr>
          </w:p>
        </w:tc>
      </w:tr>
      <w:tr w:rsidR="006C2545" w14:paraId="5F07C595" w14:textId="77777777" w:rsidTr="00020EBD">
        <w:tc>
          <w:tcPr>
            <w:tcW w:w="2977" w:type="dxa"/>
          </w:tcPr>
          <w:p w14:paraId="2AFEA553" w14:textId="19416BEC" w:rsidR="006C2545" w:rsidRPr="00EB7630" w:rsidRDefault="006C2545" w:rsidP="00EB7630">
            <w:pPr>
              <w:pStyle w:val="NoSpacing"/>
              <w:rPr>
                <w:rFonts w:ascii="Times New Roman" w:hAnsi="Times New Roman" w:cs="Times New Roman"/>
                <w:color w:val="333333"/>
                <w:spacing w:val="5"/>
                <w:sz w:val="20"/>
                <w:szCs w:val="20"/>
              </w:rPr>
            </w:pPr>
            <w:r w:rsidRPr="00EB7630">
              <w:rPr>
                <w:rFonts w:ascii="Times New Roman" w:hAnsi="Times New Roman" w:cs="Times New Roman"/>
                <w:color w:val="333333"/>
                <w:spacing w:val="5"/>
                <w:sz w:val="20"/>
                <w:szCs w:val="20"/>
              </w:rPr>
              <w:t>Residential property</w:t>
            </w:r>
          </w:p>
        </w:tc>
        <w:tc>
          <w:tcPr>
            <w:tcW w:w="2977" w:type="dxa"/>
          </w:tcPr>
          <w:p w14:paraId="06193633" w14:textId="7DD60B55" w:rsidR="006C2545" w:rsidRPr="00731752" w:rsidRDefault="006C2545" w:rsidP="00731752">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24%</w:t>
            </w:r>
          </w:p>
        </w:tc>
        <w:tc>
          <w:tcPr>
            <w:tcW w:w="2977" w:type="dxa"/>
          </w:tcPr>
          <w:p w14:paraId="1040FC3A" w14:textId="177DAA7A" w:rsidR="006C2545" w:rsidRPr="00731752" w:rsidRDefault="006C2545" w:rsidP="00731752">
            <w:pPr>
              <w:pStyle w:val="NoSpacing"/>
              <w:jc w:val="center"/>
              <w:rPr>
                <w:rFonts w:ascii="Times New Roman" w:hAnsi="Times New Roman" w:cs="Times New Roman"/>
                <w:spacing w:val="5"/>
                <w:sz w:val="20"/>
                <w:szCs w:val="20"/>
              </w:rPr>
            </w:pPr>
            <w:r w:rsidRPr="00731752">
              <w:rPr>
                <w:rFonts w:ascii="Times New Roman" w:hAnsi="Times New Roman" w:cs="Times New Roman"/>
                <w:spacing w:val="5"/>
                <w:sz w:val="20"/>
                <w:szCs w:val="20"/>
              </w:rPr>
              <w:t>24%</w:t>
            </w:r>
          </w:p>
        </w:tc>
        <w:tc>
          <w:tcPr>
            <w:tcW w:w="1701" w:type="dxa"/>
            <w:vMerge/>
          </w:tcPr>
          <w:p w14:paraId="2818EB4E" w14:textId="77777777" w:rsidR="006C2545" w:rsidRPr="00731752" w:rsidRDefault="006C2545" w:rsidP="00731752">
            <w:pPr>
              <w:pStyle w:val="NoSpacing"/>
              <w:jc w:val="center"/>
              <w:rPr>
                <w:rFonts w:ascii="Times New Roman" w:hAnsi="Times New Roman" w:cs="Times New Roman"/>
                <w:bCs/>
                <w:sz w:val="20"/>
                <w:szCs w:val="20"/>
                <w:lang w:val="en" w:eastAsia="en-GB"/>
              </w:rPr>
            </w:pPr>
          </w:p>
        </w:tc>
      </w:tr>
      <w:tr w:rsidR="00020EBD" w14:paraId="3091501D" w14:textId="77777777" w:rsidTr="00020EBD">
        <w:tc>
          <w:tcPr>
            <w:tcW w:w="10632" w:type="dxa"/>
            <w:gridSpan w:val="4"/>
            <w:shd w:val="clear" w:color="auto" w:fill="F2F2F2" w:themeFill="background1" w:themeFillShade="F2"/>
          </w:tcPr>
          <w:p w14:paraId="4BA5BEB0" w14:textId="1772637C" w:rsidR="00020EBD" w:rsidRPr="00731752" w:rsidRDefault="00020EBD" w:rsidP="00020EBD">
            <w:pPr>
              <w:pStyle w:val="NoSpacing"/>
              <w:rPr>
                <w:rFonts w:ascii="Times New Roman" w:hAnsi="Times New Roman" w:cs="Times New Roman"/>
                <w:bCs/>
                <w:sz w:val="20"/>
                <w:szCs w:val="20"/>
                <w:lang w:val="en" w:eastAsia="en-GB"/>
              </w:rPr>
            </w:pPr>
            <w:r w:rsidRPr="00EB7630">
              <w:rPr>
                <w:rFonts w:ascii="Times New Roman" w:hAnsi="Times New Roman" w:cs="Times New Roman"/>
                <w:b/>
                <w:bCs/>
                <w:color w:val="333333"/>
                <w:spacing w:val="5"/>
                <w:sz w:val="20"/>
                <w:szCs w:val="20"/>
              </w:rPr>
              <w:t>Corporation Tax</w:t>
            </w:r>
          </w:p>
        </w:tc>
      </w:tr>
      <w:tr w:rsidR="000A11C8" w14:paraId="06011DEB" w14:textId="77777777" w:rsidTr="000A11C8">
        <w:trPr>
          <w:trHeight w:val="252"/>
        </w:trPr>
        <w:tc>
          <w:tcPr>
            <w:tcW w:w="2977" w:type="dxa"/>
          </w:tcPr>
          <w:p w14:paraId="51BB2AC5" w14:textId="46D48F92" w:rsidR="000A11C8" w:rsidRPr="00EB7630" w:rsidRDefault="000A11C8" w:rsidP="000A11C8">
            <w:pPr>
              <w:pStyle w:val="NoSpacing"/>
              <w:rPr>
                <w:rFonts w:ascii="Times New Roman" w:hAnsi="Times New Roman" w:cs="Times New Roman"/>
                <w:color w:val="333333"/>
                <w:spacing w:val="5"/>
                <w:sz w:val="20"/>
                <w:szCs w:val="20"/>
              </w:rPr>
            </w:pPr>
            <w:r>
              <w:rPr>
                <w:rFonts w:ascii="Times New Roman" w:hAnsi="Times New Roman" w:cs="Times New Roman"/>
                <w:color w:val="333333"/>
                <w:spacing w:val="5"/>
                <w:sz w:val="20"/>
                <w:szCs w:val="20"/>
              </w:rPr>
              <w:t>Minimum rate</w:t>
            </w:r>
          </w:p>
        </w:tc>
        <w:tc>
          <w:tcPr>
            <w:tcW w:w="2977" w:type="dxa"/>
          </w:tcPr>
          <w:p w14:paraId="1464B74A" w14:textId="6394A077" w:rsidR="000A11C8" w:rsidRPr="000A11C8" w:rsidRDefault="000A11C8" w:rsidP="000A11C8">
            <w:pPr>
              <w:pStyle w:val="NoSpacing"/>
              <w:jc w:val="center"/>
              <w:rPr>
                <w:rFonts w:ascii="Times New Roman" w:hAnsi="Times New Roman" w:cs="Times New Roman"/>
                <w:spacing w:val="5"/>
                <w:sz w:val="20"/>
                <w:szCs w:val="20"/>
              </w:rPr>
            </w:pPr>
            <w:r w:rsidRPr="000A11C8">
              <w:rPr>
                <w:rFonts w:ascii="Times New Roman" w:hAnsi="Times New Roman" w:cs="Times New Roman"/>
                <w:spacing w:val="5"/>
                <w:sz w:val="20"/>
                <w:szCs w:val="20"/>
              </w:rPr>
              <w:t>19% (profits under £50,000)</w:t>
            </w:r>
          </w:p>
        </w:tc>
        <w:tc>
          <w:tcPr>
            <w:tcW w:w="2977" w:type="dxa"/>
          </w:tcPr>
          <w:p w14:paraId="76D83EB0" w14:textId="57DCD98F" w:rsidR="000A11C8" w:rsidRPr="000A11C8" w:rsidRDefault="000A11C8" w:rsidP="000A11C8">
            <w:pPr>
              <w:pStyle w:val="NoSpacing"/>
              <w:jc w:val="center"/>
              <w:rPr>
                <w:rFonts w:ascii="Times New Roman" w:hAnsi="Times New Roman" w:cs="Times New Roman"/>
                <w:spacing w:val="5"/>
                <w:sz w:val="20"/>
                <w:szCs w:val="20"/>
              </w:rPr>
            </w:pPr>
            <w:r w:rsidRPr="000A11C8">
              <w:rPr>
                <w:rFonts w:ascii="Times New Roman" w:hAnsi="Times New Roman" w:cs="Times New Roman"/>
                <w:spacing w:val="5"/>
                <w:sz w:val="20"/>
                <w:szCs w:val="20"/>
              </w:rPr>
              <w:t>19% (profits under £50,000)</w:t>
            </w:r>
          </w:p>
        </w:tc>
        <w:tc>
          <w:tcPr>
            <w:tcW w:w="1701" w:type="dxa"/>
            <w:vMerge w:val="restart"/>
          </w:tcPr>
          <w:p w14:paraId="60E9D79A" w14:textId="77777777" w:rsidR="000A11C8" w:rsidRPr="00731752" w:rsidRDefault="000A11C8" w:rsidP="00731752">
            <w:pPr>
              <w:pStyle w:val="NoSpacing"/>
              <w:jc w:val="center"/>
              <w:rPr>
                <w:rFonts w:ascii="Times New Roman" w:hAnsi="Times New Roman" w:cs="Times New Roman"/>
                <w:bCs/>
                <w:sz w:val="20"/>
                <w:szCs w:val="20"/>
                <w:lang w:val="en" w:eastAsia="en-GB"/>
              </w:rPr>
            </w:pPr>
          </w:p>
        </w:tc>
      </w:tr>
      <w:tr w:rsidR="000A11C8" w14:paraId="6DE2F37F" w14:textId="77777777" w:rsidTr="000A11C8">
        <w:trPr>
          <w:trHeight w:val="286"/>
        </w:trPr>
        <w:tc>
          <w:tcPr>
            <w:tcW w:w="2977" w:type="dxa"/>
          </w:tcPr>
          <w:p w14:paraId="245ED6DD" w14:textId="1D85EB5A" w:rsidR="000A11C8" w:rsidRDefault="000A11C8" w:rsidP="005B5FB0">
            <w:pPr>
              <w:pStyle w:val="NoSpacing"/>
              <w:rPr>
                <w:rFonts w:ascii="Times New Roman" w:hAnsi="Times New Roman" w:cs="Times New Roman"/>
                <w:color w:val="333333"/>
                <w:spacing w:val="5"/>
                <w:sz w:val="20"/>
                <w:szCs w:val="20"/>
              </w:rPr>
            </w:pPr>
            <w:r>
              <w:rPr>
                <w:rFonts w:ascii="Times New Roman" w:hAnsi="Times New Roman" w:cs="Times New Roman"/>
                <w:color w:val="333333"/>
                <w:spacing w:val="5"/>
                <w:sz w:val="20"/>
                <w:szCs w:val="20"/>
              </w:rPr>
              <w:t>Maximum rate</w:t>
            </w:r>
          </w:p>
        </w:tc>
        <w:tc>
          <w:tcPr>
            <w:tcW w:w="2977" w:type="dxa"/>
          </w:tcPr>
          <w:p w14:paraId="6565A7D0" w14:textId="35581F38" w:rsidR="000A11C8" w:rsidRPr="000A11C8" w:rsidRDefault="000A11C8" w:rsidP="000A11C8">
            <w:pPr>
              <w:pStyle w:val="NoSpacing"/>
              <w:jc w:val="center"/>
              <w:rPr>
                <w:rFonts w:ascii="Times New Roman" w:hAnsi="Times New Roman" w:cs="Times New Roman"/>
                <w:spacing w:val="5"/>
                <w:sz w:val="20"/>
                <w:szCs w:val="20"/>
              </w:rPr>
            </w:pPr>
            <w:r w:rsidRPr="000A11C8">
              <w:rPr>
                <w:rFonts w:ascii="Times New Roman" w:hAnsi="Times New Roman" w:cs="Times New Roman"/>
                <w:spacing w:val="5"/>
                <w:sz w:val="20"/>
                <w:szCs w:val="20"/>
              </w:rPr>
              <w:t>25% (profits over £250,000)</w:t>
            </w:r>
          </w:p>
        </w:tc>
        <w:tc>
          <w:tcPr>
            <w:tcW w:w="2977" w:type="dxa"/>
          </w:tcPr>
          <w:p w14:paraId="07E3B400" w14:textId="10B268C2" w:rsidR="000A11C8" w:rsidRPr="000A11C8" w:rsidRDefault="000A11C8" w:rsidP="000A11C8">
            <w:pPr>
              <w:pStyle w:val="NoSpacing"/>
              <w:jc w:val="center"/>
              <w:rPr>
                <w:rFonts w:ascii="Times New Roman" w:hAnsi="Times New Roman" w:cs="Times New Roman"/>
                <w:spacing w:val="5"/>
                <w:sz w:val="20"/>
                <w:szCs w:val="20"/>
              </w:rPr>
            </w:pPr>
            <w:r w:rsidRPr="000A11C8">
              <w:rPr>
                <w:rFonts w:ascii="Times New Roman" w:hAnsi="Times New Roman" w:cs="Times New Roman"/>
                <w:spacing w:val="5"/>
                <w:sz w:val="20"/>
                <w:szCs w:val="20"/>
              </w:rPr>
              <w:t>25% (profits over £250,000)</w:t>
            </w:r>
          </w:p>
        </w:tc>
        <w:tc>
          <w:tcPr>
            <w:tcW w:w="1701" w:type="dxa"/>
            <w:vMerge/>
          </w:tcPr>
          <w:p w14:paraId="457D2AE2" w14:textId="77777777" w:rsidR="000A11C8" w:rsidRPr="00731752" w:rsidRDefault="000A11C8" w:rsidP="00731752">
            <w:pPr>
              <w:pStyle w:val="NoSpacing"/>
              <w:jc w:val="center"/>
              <w:rPr>
                <w:rFonts w:ascii="Times New Roman" w:hAnsi="Times New Roman" w:cs="Times New Roman"/>
                <w:bCs/>
                <w:sz w:val="20"/>
                <w:szCs w:val="20"/>
                <w:lang w:val="en" w:eastAsia="en-GB"/>
              </w:rPr>
            </w:pPr>
          </w:p>
        </w:tc>
      </w:tr>
      <w:tr w:rsidR="000A11C8" w14:paraId="087DDB2B" w14:textId="77777777" w:rsidTr="000A11C8">
        <w:trPr>
          <w:trHeight w:val="385"/>
        </w:trPr>
        <w:tc>
          <w:tcPr>
            <w:tcW w:w="2977" w:type="dxa"/>
          </w:tcPr>
          <w:p w14:paraId="0AF12BB8" w14:textId="77777777" w:rsidR="000A11C8" w:rsidRDefault="000A11C8" w:rsidP="005B5FB0">
            <w:pPr>
              <w:pStyle w:val="NoSpacing"/>
              <w:rPr>
                <w:rFonts w:ascii="Times New Roman" w:hAnsi="Times New Roman" w:cs="Times New Roman"/>
                <w:color w:val="333333"/>
                <w:spacing w:val="5"/>
                <w:sz w:val="20"/>
                <w:szCs w:val="20"/>
              </w:rPr>
            </w:pPr>
          </w:p>
          <w:p w14:paraId="36A42F58" w14:textId="14B55100" w:rsidR="000A11C8" w:rsidRDefault="000A11C8" w:rsidP="005B5FB0">
            <w:pPr>
              <w:pStyle w:val="NoSpacing"/>
              <w:rPr>
                <w:rFonts w:ascii="Times New Roman" w:hAnsi="Times New Roman" w:cs="Times New Roman"/>
                <w:color w:val="333333"/>
                <w:spacing w:val="5"/>
                <w:sz w:val="20"/>
                <w:szCs w:val="20"/>
              </w:rPr>
            </w:pPr>
            <w:r>
              <w:rPr>
                <w:rFonts w:ascii="Times New Roman" w:hAnsi="Times New Roman" w:cs="Times New Roman"/>
                <w:color w:val="333333"/>
                <w:spacing w:val="5"/>
                <w:sz w:val="20"/>
                <w:szCs w:val="20"/>
              </w:rPr>
              <w:t>Tapered rate</w:t>
            </w:r>
          </w:p>
        </w:tc>
        <w:tc>
          <w:tcPr>
            <w:tcW w:w="2977" w:type="dxa"/>
          </w:tcPr>
          <w:p w14:paraId="53B92580" w14:textId="461B01F5" w:rsidR="000A11C8" w:rsidRPr="00EB7630" w:rsidRDefault="000A11C8" w:rsidP="00731752">
            <w:pPr>
              <w:pStyle w:val="NoSpacing"/>
              <w:jc w:val="center"/>
              <w:rPr>
                <w:rFonts w:ascii="Times New Roman" w:hAnsi="Times New Roman" w:cs="Times New Roman"/>
                <w:b/>
                <w:bCs/>
                <w:spacing w:val="5"/>
                <w:sz w:val="20"/>
                <w:szCs w:val="20"/>
              </w:rPr>
            </w:pPr>
            <w:r w:rsidRPr="00EB7630">
              <w:rPr>
                <w:rFonts w:ascii="Times New Roman" w:hAnsi="Times New Roman" w:cs="Times New Roman"/>
                <w:spacing w:val="5"/>
                <w:sz w:val="20"/>
                <w:szCs w:val="20"/>
              </w:rPr>
              <w:t>Companies with profits between £50,000 and £250,000 will be tapered between 19% and 25%</w:t>
            </w:r>
          </w:p>
        </w:tc>
        <w:tc>
          <w:tcPr>
            <w:tcW w:w="2977" w:type="dxa"/>
          </w:tcPr>
          <w:p w14:paraId="00E073E0" w14:textId="18040BD7" w:rsidR="000A11C8" w:rsidRPr="00EB7630" w:rsidRDefault="000A11C8" w:rsidP="00731752">
            <w:pPr>
              <w:pStyle w:val="NoSpacing"/>
              <w:jc w:val="center"/>
              <w:rPr>
                <w:rFonts w:ascii="Times New Roman" w:hAnsi="Times New Roman" w:cs="Times New Roman"/>
                <w:b/>
                <w:bCs/>
                <w:spacing w:val="5"/>
                <w:sz w:val="20"/>
                <w:szCs w:val="20"/>
              </w:rPr>
            </w:pPr>
            <w:r w:rsidRPr="00EB7630">
              <w:rPr>
                <w:rFonts w:ascii="Times New Roman" w:hAnsi="Times New Roman" w:cs="Times New Roman"/>
                <w:spacing w:val="5"/>
                <w:sz w:val="20"/>
                <w:szCs w:val="20"/>
              </w:rPr>
              <w:t>Companies with profits between £50,000 and £250,000 will be tapered between 19% and 25%</w:t>
            </w:r>
          </w:p>
        </w:tc>
        <w:tc>
          <w:tcPr>
            <w:tcW w:w="1701" w:type="dxa"/>
            <w:vMerge/>
          </w:tcPr>
          <w:p w14:paraId="3DC9F9B8" w14:textId="77777777" w:rsidR="000A11C8" w:rsidRPr="00731752" w:rsidRDefault="000A11C8" w:rsidP="00731752">
            <w:pPr>
              <w:pStyle w:val="NoSpacing"/>
              <w:jc w:val="center"/>
              <w:rPr>
                <w:rFonts w:ascii="Times New Roman" w:hAnsi="Times New Roman" w:cs="Times New Roman"/>
                <w:bCs/>
                <w:sz w:val="20"/>
                <w:szCs w:val="20"/>
                <w:lang w:val="en" w:eastAsia="en-GB"/>
              </w:rPr>
            </w:pPr>
          </w:p>
        </w:tc>
      </w:tr>
    </w:tbl>
    <w:p w14:paraId="2D0A85DA" w14:textId="77777777" w:rsidR="00CA5E15" w:rsidRDefault="00CA5E15" w:rsidP="00020EBD">
      <w:pPr>
        <w:pStyle w:val="NoSpacing"/>
        <w:rPr>
          <w:rFonts w:ascii="Times New Roman" w:hAnsi="Times New Roman" w:cs="Times New Roman"/>
          <w:bCs/>
          <w:color w:val="336699"/>
          <w:lang w:val="en" w:eastAsia="en-GB"/>
        </w:rPr>
      </w:pPr>
    </w:p>
    <w:sectPr w:rsidR="00CA5E15" w:rsidSect="00345B4C">
      <w:pgSz w:w="11906" w:h="16838"/>
      <w:pgMar w:top="568"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0093"/>
    <w:multiLevelType w:val="hybridMultilevel"/>
    <w:tmpl w:val="687CC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F3630E"/>
    <w:multiLevelType w:val="hybridMultilevel"/>
    <w:tmpl w:val="B7329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AB0FE0"/>
    <w:multiLevelType w:val="hybridMultilevel"/>
    <w:tmpl w:val="6BB69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5B1B19"/>
    <w:multiLevelType w:val="hybridMultilevel"/>
    <w:tmpl w:val="AF20D58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6960EC"/>
    <w:multiLevelType w:val="hybridMultilevel"/>
    <w:tmpl w:val="AF6C494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C822042"/>
    <w:multiLevelType w:val="hybridMultilevel"/>
    <w:tmpl w:val="80409CD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280B04"/>
    <w:multiLevelType w:val="hybridMultilevel"/>
    <w:tmpl w:val="6F0806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3E152D6"/>
    <w:multiLevelType w:val="hybridMultilevel"/>
    <w:tmpl w:val="559A8C0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AB76CA"/>
    <w:multiLevelType w:val="hybridMultilevel"/>
    <w:tmpl w:val="D7382FE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D11FFA"/>
    <w:multiLevelType w:val="hybridMultilevel"/>
    <w:tmpl w:val="E41485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300A1C"/>
    <w:multiLevelType w:val="hybridMultilevel"/>
    <w:tmpl w:val="FE28F5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6D795F"/>
    <w:multiLevelType w:val="hybridMultilevel"/>
    <w:tmpl w:val="E2DC99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333B85"/>
    <w:multiLevelType w:val="hybridMultilevel"/>
    <w:tmpl w:val="2018C20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426BCF"/>
    <w:multiLevelType w:val="hybridMultilevel"/>
    <w:tmpl w:val="653E7D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688651">
    <w:abstractNumId w:val="7"/>
  </w:num>
  <w:num w:numId="2" w16cid:durableId="1055860275">
    <w:abstractNumId w:val="1"/>
  </w:num>
  <w:num w:numId="3" w16cid:durableId="1082144902">
    <w:abstractNumId w:val="5"/>
  </w:num>
  <w:num w:numId="4" w16cid:durableId="1799571321">
    <w:abstractNumId w:val="3"/>
  </w:num>
  <w:num w:numId="5" w16cid:durableId="1041898663">
    <w:abstractNumId w:val="12"/>
  </w:num>
  <w:num w:numId="6" w16cid:durableId="1233126659">
    <w:abstractNumId w:val="13"/>
  </w:num>
  <w:num w:numId="7" w16cid:durableId="1541094625">
    <w:abstractNumId w:val="6"/>
  </w:num>
  <w:num w:numId="8" w16cid:durableId="1363702064">
    <w:abstractNumId w:val="2"/>
  </w:num>
  <w:num w:numId="9" w16cid:durableId="743991148">
    <w:abstractNumId w:val="11"/>
  </w:num>
  <w:num w:numId="10" w16cid:durableId="577713193">
    <w:abstractNumId w:val="8"/>
  </w:num>
  <w:num w:numId="11" w16cid:durableId="2125490489">
    <w:abstractNumId w:val="0"/>
  </w:num>
  <w:num w:numId="12" w16cid:durableId="1225601098">
    <w:abstractNumId w:val="10"/>
  </w:num>
  <w:num w:numId="13" w16cid:durableId="2127386954">
    <w:abstractNumId w:val="9"/>
  </w:num>
  <w:num w:numId="14" w16cid:durableId="43136173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32D"/>
    <w:rsid w:val="000010A1"/>
    <w:rsid w:val="00001815"/>
    <w:rsid w:val="00001956"/>
    <w:rsid w:val="00020EBD"/>
    <w:rsid w:val="00031BC5"/>
    <w:rsid w:val="00033C5F"/>
    <w:rsid w:val="000351BB"/>
    <w:rsid w:val="000372EF"/>
    <w:rsid w:val="00051A6B"/>
    <w:rsid w:val="00060851"/>
    <w:rsid w:val="000659FC"/>
    <w:rsid w:val="00075B60"/>
    <w:rsid w:val="00087757"/>
    <w:rsid w:val="000A11C8"/>
    <w:rsid w:val="000A2348"/>
    <w:rsid w:val="000B1304"/>
    <w:rsid w:val="000C48D3"/>
    <w:rsid w:val="000D34B5"/>
    <w:rsid w:val="000E44BE"/>
    <w:rsid w:val="000E4ADE"/>
    <w:rsid w:val="00102558"/>
    <w:rsid w:val="00102B93"/>
    <w:rsid w:val="00104E2E"/>
    <w:rsid w:val="00110AE7"/>
    <w:rsid w:val="001213F7"/>
    <w:rsid w:val="001402FB"/>
    <w:rsid w:val="00145C8D"/>
    <w:rsid w:val="00172BF2"/>
    <w:rsid w:val="001758D7"/>
    <w:rsid w:val="00181A00"/>
    <w:rsid w:val="001932D1"/>
    <w:rsid w:val="00195A51"/>
    <w:rsid w:val="001A13D3"/>
    <w:rsid w:val="001A425F"/>
    <w:rsid w:val="001D45AB"/>
    <w:rsid w:val="002059B2"/>
    <w:rsid w:val="00207263"/>
    <w:rsid w:val="002174A3"/>
    <w:rsid w:val="002211BF"/>
    <w:rsid w:val="002351B5"/>
    <w:rsid w:val="002440A3"/>
    <w:rsid w:val="002469B6"/>
    <w:rsid w:val="00250321"/>
    <w:rsid w:val="00273C3A"/>
    <w:rsid w:val="00274B59"/>
    <w:rsid w:val="002779DC"/>
    <w:rsid w:val="0028045C"/>
    <w:rsid w:val="00291B8C"/>
    <w:rsid w:val="002939F3"/>
    <w:rsid w:val="002B64EA"/>
    <w:rsid w:val="002B6F50"/>
    <w:rsid w:val="002C27DD"/>
    <w:rsid w:val="002C7C05"/>
    <w:rsid w:val="002D1943"/>
    <w:rsid w:val="002E0E91"/>
    <w:rsid w:val="002F09E3"/>
    <w:rsid w:val="002F0B40"/>
    <w:rsid w:val="002F2F99"/>
    <w:rsid w:val="002F3625"/>
    <w:rsid w:val="002F5B65"/>
    <w:rsid w:val="00306B19"/>
    <w:rsid w:val="00307890"/>
    <w:rsid w:val="00345B4C"/>
    <w:rsid w:val="00347FE1"/>
    <w:rsid w:val="00355101"/>
    <w:rsid w:val="003711BA"/>
    <w:rsid w:val="0038321A"/>
    <w:rsid w:val="00390D7F"/>
    <w:rsid w:val="00393307"/>
    <w:rsid w:val="003951FB"/>
    <w:rsid w:val="003A3802"/>
    <w:rsid w:val="003A45F6"/>
    <w:rsid w:val="003B0D1B"/>
    <w:rsid w:val="003C3E2C"/>
    <w:rsid w:val="003E2D63"/>
    <w:rsid w:val="003F350B"/>
    <w:rsid w:val="00401076"/>
    <w:rsid w:val="00410CCF"/>
    <w:rsid w:val="00412014"/>
    <w:rsid w:val="0041679E"/>
    <w:rsid w:val="00424737"/>
    <w:rsid w:val="0045200B"/>
    <w:rsid w:val="00494B4F"/>
    <w:rsid w:val="004B062F"/>
    <w:rsid w:val="004B1C93"/>
    <w:rsid w:val="004C4F99"/>
    <w:rsid w:val="004C5AE4"/>
    <w:rsid w:val="004E760C"/>
    <w:rsid w:val="00500A11"/>
    <w:rsid w:val="00512686"/>
    <w:rsid w:val="005163F0"/>
    <w:rsid w:val="005170F8"/>
    <w:rsid w:val="0053444B"/>
    <w:rsid w:val="00563805"/>
    <w:rsid w:val="00593B80"/>
    <w:rsid w:val="00593D3B"/>
    <w:rsid w:val="005B488A"/>
    <w:rsid w:val="005B5FB0"/>
    <w:rsid w:val="005C5FF2"/>
    <w:rsid w:val="005D44F2"/>
    <w:rsid w:val="005E2F2F"/>
    <w:rsid w:val="005E3313"/>
    <w:rsid w:val="005E3799"/>
    <w:rsid w:val="005E48C3"/>
    <w:rsid w:val="00613032"/>
    <w:rsid w:val="00615E1C"/>
    <w:rsid w:val="00631F4E"/>
    <w:rsid w:val="00634C25"/>
    <w:rsid w:val="006354CA"/>
    <w:rsid w:val="00650A76"/>
    <w:rsid w:val="006542CA"/>
    <w:rsid w:val="006772D7"/>
    <w:rsid w:val="00681709"/>
    <w:rsid w:val="0069679E"/>
    <w:rsid w:val="006A6FD9"/>
    <w:rsid w:val="006C09A3"/>
    <w:rsid w:val="006C2545"/>
    <w:rsid w:val="006C68B7"/>
    <w:rsid w:val="006F14C6"/>
    <w:rsid w:val="007118EC"/>
    <w:rsid w:val="007259B8"/>
    <w:rsid w:val="00731752"/>
    <w:rsid w:val="00736104"/>
    <w:rsid w:val="00761A32"/>
    <w:rsid w:val="007767F2"/>
    <w:rsid w:val="00783946"/>
    <w:rsid w:val="0078397B"/>
    <w:rsid w:val="00784607"/>
    <w:rsid w:val="00786DD8"/>
    <w:rsid w:val="007A032D"/>
    <w:rsid w:val="007A5E85"/>
    <w:rsid w:val="007C07A3"/>
    <w:rsid w:val="007C4A01"/>
    <w:rsid w:val="007D5643"/>
    <w:rsid w:val="007E6718"/>
    <w:rsid w:val="007E716C"/>
    <w:rsid w:val="007F5963"/>
    <w:rsid w:val="008034D6"/>
    <w:rsid w:val="0083002F"/>
    <w:rsid w:val="00832279"/>
    <w:rsid w:val="00842875"/>
    <w:rsid w:val="00847A1D"/>
    <w:rsid w:val="00847E4B"/>
    <w:rsid w:val="00854B10"/>
    <w:rsid w:val="008624FD"/>
    <w:rsid w:val="00864796"/>
    <w:rsid w:val="00866D41"/>
    <w:rsid w:val="0086783E"/>
    <w:rsid w:val="008773C4"/>
    <w:rsid w:val="00892701"/>
    <w:rsid w:val="008A5B25"/>
    <w:rsid w:val="008A6BDF"/>
    <w:rsid w:val="008C0443"/>
    <w:rsid w:val="008E34E7"/>
    <w:rsid w:val="008E792E"/>
    <w:rsid w:val="008F595D"/>
    <w:rsid w:val="009136AA"/>
    <w:rsid w:val="00915CEB"/>
    <w:rsid w:val="0091638B"/>
    <w:rsid w:val="009308FA"/>
    <w:rsid w:val="00930939"/>
    <w:rsid w:val="0094597E"/>
    <w:rsid w:val="00962EC3"/>
    <w:rsid w:val="009634D4"/>
    <w:rsid w:val="00966C69"/>
    <w:rsid w:val="00967EE0"/>
    <w:rsid w:val="0098198D"/>
    <w:rsid w:val="00995427"/>
    <w:rsid w:val="00995975"/>
    <w:rsid w:val="009A38BF"/>
    <w:rsid w:val="009C032A"/>
    <w:rsid w:val="009E1C28"/>
    <w:rsid w:val="009F2104"/>
    <w:rsid w:val="009F2DFB"/>
    <w:rsid w:val="00A10F5D"/>
    <w:rsid w:val="00A1126E"/>
    <w:rsid w:val="00A12849"/>
    <w:rsid w:val="00A12889"/>
    <w:rsid w:val="00A31695"/>
    <w:rsid w:val="00A45879"/>
    <w:rsid w:val="00A56698"/>
    <w:rsid w:val="00A61C8E"/>
    <w:rsid w:val="00A71FEB"/>
    <w:rsid w:val="00A85C75"/>
    <w:rsid w:val="00A95B3F"/>
    <w:rsid w:val="00AC0550"/>
    <w:rsid w:val="00AC11C8"/>
    <w:rsid w:val="00AC42EF"/>
    <w:rsid w:val="00AD739E"/>
    <w:rsid w:val="00AE279F"/>
    <w:rsid w:val="00AE60C4"/>
    <w:rsid w:val="00B65BB9"/>
    <w:rsid w:val="00B8381C"/>
    <w:rsid w:val="00B9178E"/>
    <w:rsid w:val="00BB0601"/>
    <w:rsid w:val="00BD01AD"/>
    <w:rsid w:val="00BF2DB9"/>
    <w:rsid w:val="00C00557"/>
    <w:rsid w:val="00C26B93"/>
    <w:rsid w:val="00C26D85"/>
    <w:rsid w:val="00C40C2F"/>
    <w:rsid w:val="00C47DE5"/>
    <w:rsid w:val="00C51C90"/>
    <w:rsid w:val="00C63740"/>
    <w:rsid w:val="00C7128D"/>
    <w:rsid w:val="00C76C1E"/>
    <w:rsid w:val="00CA5E15"/>
    <w:rsid w:val="00CB7969"/>
    <w:rsid w:val="00CD301B"/>
    <w:rsid w:val="00CD4432"/>
    <w:rsid w:val="00CE4FFA"/>
    <w:rsid w:val="00D1222A"/>
    <w:rsid w:val="00D30644"/>
    <w:rsid w:val="00D40F7D"/>
    <w:rsid w:val="00D53DA2"/>
    <w:rsid w:val="00D639EA"/>
    <w:rsid w:val="00D6663C"/>
    <w:rsid w:val="00D672A7"/>
    <w:rsid w:val="00D806F2"/>
    <w:rsid w:val="00D96303"/>
    <w:rsid w:val="00DA0006"/>
    <w:rsid w:val="00DA0556"/>
    <w:rsid w:val="00DA1B1D"/>
    <w:rsid w:val="00DA4DB7"/>
    <w:rsid w:val="00DA643B"/>
    <w:rsid w:val="00DA7599"/>
    <w:rsid w:val="00DB113A"/>
    <w:rsid w:val="00DB2324"/>
    <w:rsid w:val="00DD23FB"/>
    <w:rsid w:val="00DE356F"/>
    <w:rsid w:val="00DE4CB6"/>
    <w:rsid w:val="00DE4D28"/>
    <w:rsid w:val="00DF12F1"/>
    <w:rsid w:val="00DF3839"/>
    <w:rsid w:val="00E06976"/>
    <w:rsid w:val="00E14864"/>
    <w:rsid w:val="00E152F8"/>
    <w:rsid w:val="00E209A3"/>
    <w:rsid w:val="00E236C8"/>
    <w:rsid w:val="00E27721"/>
    <w:rsid w:val="00E31854"/>
    <w:rsid w:val="00E3635C"/>
    <w:rsid w:val="00E51971"/>
    <w:rsid w:val="00E57328"/>
    <w:rsid w:val="00E625D9"/>
    <w:rsid w:val="00E71A1C"/>
    <w:rsid w:val="00E736DB"/>
    <w:rsid w:val="00E85928"/>
    <w:rsid w:val="00E94273"/>
    <w:rsid w:val="00EB7630"/>
    <w:rsid w:val="00EC2768"/>
    <w:rsid w:val="00EF2A86"/>
    <w:rsid w:val="00F03F32"/>
    <w:rsid w:val="00F07867"/>
    <w:rsid w:val="00F2476D"/>
    <w:rsid w:val="00F31FB2"/>
    <w:rsid w:val="00F41D90"/>
    <w:rsid w:val="00F51AFB"/>
    <w:rsid w:val="00F6169E"/>
    <w:rsid w:val="00F819A3"/>
    <w:rsid w:val="00F90CFA"/>
    <w:rsid w:val="00FC27F6"/>
    <w:rsid w:val="00FC2B04"/>
    <w:rsid w:val="00FC3A9B"/>
    <w:rsid w:val="00FD1917"/>
    <w:rsid w:val="00FD2C5E"/>
    <w:rsid w:val="00FE1B49"/>
    <w:rsid w:val="00FE3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46EA5"/>
  <w15:docId w15:val="{6D56DCCF-D845-4651-8261-EAE4700E3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2EF"/>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F819A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195A51"/>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32D"/>
    <w:pPr>
      <w:ind w:left="720"/>
      <w:contextualSpacing/>
    </w:pPr>
  </w:style>
  <w:style w:type="paragraph" w:styleId="NormalWeb">
    <w:name w:val="Normal (Web)"/>
    <w:basedOn w:val="Normal"/>
    <w:uiPriority w:val="99"/>
    <w:semiHidden/>
    <w:unhideWhenUsed/>
    <w:rsid w:val="007A032D"/>
    <w:pPr>
      <w:spacing w:before="100" w:beforeAutospacing="1" w:after="100" w:afterAutospacing="1"/>
    </w:pPr>
    <w:rPr>
      <w:szCs w:val="24"/>
      <w:lang w:eastAsia="en-GB"/>
    </w:rPr>
  </w:style>
  <w:style w:type="character" w:customStyle="1" w:styleId="apple-converted-space">
    <w:name w:val="apple-converted-space"/>
    <w:basedOn w:val="DefaultParagraphFont"/>
    <w:rsid w:val="00195A51"/>
  </w:style>
  <w:style w:type="character" w:customStyle="1" w:styleId="Heading3Char">
    <w:name w:val="Heading 3 Char"/>
    <w:basedOn w:val="DefaultParagraphFont"/>
    <w:link w:val="Heading3"/>
    <w:uiPriority w:val="9"/>
    <w:rsid w:val="00195A51"/>
    <w:rPr>
      <w:rFonts w:ascii="Times New Roman" w:eastAsia="Times New Roman" w:hAnsi="Times New Roman" w:cs="Times New Roman"/>
      <w:b/>
      <w:bCs/>
      <w:sz w:val="27"/>
      <w:szCs w:val="27"/>
      <w:lang w:eastAsia="en-GB"/>
    </w:rPr>
  </w:style>
  <w:style w:type="paragraph" w:styleId="NoSpacing">
    <w:name w:val="No Spacing"/>
    <w:uiPriority w:val="1"/>
    <w:qFormat/>
    <w:rsid w:val="000372EF"/>
    <w:pPr>
      <w:spacing w:after="0" w:line="240" w:lineRule="auto"/>
    </w:pPr>
  </w:style>
  <w:style w:type="table" w:styleId="TableGrid">
    <w:name w:val="Table Grid"/>
    <w:basedOn w:val="TableNormal"/>
    <w:uiPriority w:val="59"/>
    <w:rsid w:val="00037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2889"/>
    <w:rPr>
      <w:color w:val="0000FF" w:themeColor="hyperlink"/>
      <w:u w:val="single"/>
    </w:rPr>
  </w:style>
  <w:style w:type="paragraph" w:styleId="BalloonText">
    <w:name w:val="Balloon Text"/>
    <w:basedOn w:val="Normal"/>
    <w:link w:val="BalloonTextChar"/>
    <w:uiPriority w:val="99"/>
    <w:semiHidden/>
    <w:unhideWhenUsed/>
    <w:rsid w:val="00A12889"/>
    <w:rPr>
      <w:rFonts w:ascii="Tahoma" w:hAnsi="Tahoma" w:cs="Tahoma"/>
      <w:sz w:val="16"/>
      <w:szCs w:val="16"/>
    </w:rPr>
  </w:style>
  <w:style w:type="character" w:customStyle="1" w:styleId="BalloonTextChar">
    <w:name w:val="Balloon Text Char"/>
    <w:basedOn w:val="DefaultParagraphFont"/>
    <w:link w:val="BalloonText"/>
    <w:uiPriority w:val="99"/>
    <w:semiHidden/>
    <w:rsid w:val="00A12889"/>
    <w:rPr>
      <w:rFonts w:ascii="Tahoma" w:eastAsia="Times New Roman" w:hAnsi="Tahoma" w:cs="Tahoma"/>
      <w:sz w:val="16"/>
      <w:szCs w:val="16"/>
    </w:rPr>
  </w:style>
  <w:style w:type="character" w:styleId="Strong">
    <w:name w:val="Strong"/>
    <w:basedOn w:val="DefaultParagraphFont"/>
    <w:uiPriority w:val="22"/>
    <w:qFormat/>
    <w:rsid w:val="00AE60C4"/>
    <w:rPr>
      <w:b/>
      <w:bCs/>
    </w:rPr>
  </w:style>
  <w:style w:type="character" w:customStyle="1" w:styleId="Heading2Char">
    <w:name w:val="Heading 2 Char"/>
    <w:basedOn w:val="DefaultParagraphFont"/>
    <w:link w:val="Heading2"/>
    <w:uiPriority w:val="9"/>
    <w:semiHidden/>
    <w:rsid w:val="00F819A3"/>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412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739">
      <w:bodyDiv w:val="1"/>
      <w:marLeft w:val="0"/>
      <w:marRight w:val="0"/>
      <w:marTop w:val="0"/>
      <w:marBottom w:val="0"/>
      <w:divBdr>
        <w:top w:val="none" w:sz="0" w:space="0" w:color="auto"/>
        <w:left w:val="none" w:sz="0" w:space="0" w:color="auto"/>
        <w:bottom w:val="none" w:sz="0" w:space="0" w:color="auto"/>
        <w:right w:val="none" w:sz="0" w:space="0" w:color="auto"/>
      </w:divBdr>
    </w:div>
    <w:div w:id="1706540">
      <w:bodyDiv w:val="1"/>
      <w:marLeft w:val="0"/>
      <w:marRight w:val="0"/>
      <w:marTop w:val="0"/>
      <w:marBottom w:val="0"/>
      <w:divBdr>
        <w:top w:val="none" w:sz="0" w:space="0" w:color="auto"/>
        <w:left w:val="none" w:sz="0" w:space="0" w:color="auto"/>
        <w:bottom w:val="none" w:sz="0" w:space="0" w:color="auto"/>
        <w:right w:val="none" w:sz="0" w:space="0" w:color="auto"/>
      </w:divBdr>
    </w:div>
    <w:div w:id="6375757">
      <w:bodyDiv w:val="1"/>
      <w:marLeft w:val="0"/>
      <w:marRight w:val="0"/>
      <w:marTop w:val="0"/>
      <w:marBottom w:val="0"/>
      <w:divBdr>
        <w:top w:val="none" w:sz="0" w:space="0" w:color="auto"/>
        <w:left w:val="none" w:sz="0" w:space="0" w:color="auto"/>
        <w:bottom w:val="none" w:sz="0" w:space="0" w:color="auto"/>
        <w:right w:val="none" w:sz="0" w:space="0" w:color="auto"/>
      </w:divBdr>
    </w:div>
    <w:div w:id="48498312">
      <w:bodyDiv w:val="1"/>
      <w:marLeft w:val="0"/>
      <w:marRight w:val="0"/>
      <w:marTop w:val="0"/>
      <w:marBottom w:val="0"/>
      <w:divBdr>
        <w:top w:val="none" w:sz="0" w:space="0" w:color="auto"/>
        <w:left w:val="none" w:sz="0" w:space="0" w:color="auto"/>
        <w:bottom w:val="none" w:sz="0" w:space="0" w:color="auto"/>
        <w:right w:val="none" w:sz="0" w:space="0" w:color="auto"/>
      </w:divBdr>
    </w:div>
    <w:div w:id="84889778">
      <w:bodyDiv w:val="1"/>
      <w:marLeft w:val="0"/>
      <w:marRight w:val="0"/>
      <w:marTop w:val="0"/>
      <w:marBottom w:val="0"/>
      <w:divBdr>
        <w:top w:val="none" w:sz="0" w:space="0" w:color="auto"/>
        <w:left w:val="none" w:sz="0" w:space="0" w:color="auto"/>
        <w:bottom w:val="none" w:sz="0" w:space="0" w:color="auto"/>
        <w:right w:val="none" w:sz="0" w:space="0" w:color="auto"/>
      </w:divBdr>
    </w:div>
    <w:div w:id="92290126">
      <w:bodyDiv w:val="1"/>
      <w:marLeft w:val="0"/>
      <w:marRight w:val="0"/>
      <w:marTop w:val="0"/>
      <w:marBottom w:val="0"/>
      <w:divBdr>
        <w:top w:val="none" w:sz="0" w:space="0" w:color="auto"/>
        <w:left w:val="none" w:sz="0" w:space="0" w:color="auto"/>
        <w:bottom w:val="none" w:sz="0" w:space="0" w:color="auto"/>
        <w:right w:val="none" w:sz="0" w:space="0" w:color="auto"/>
      </w:divBdr>
    </w:div>
    <w:div w:id="97868653">
      <w:bodyDiv w:val="1"/>
      <w:marLeft w:val="0"/>
      <w:marRight w:val="0"/>
      <w:marTop w:val="0"/>
      <w:marBottom w:val="0"/>
      <w:divBdr>
        <w:top w:val="none" w:sz="0" w:space="0" w:color="auto"/>
        <w:left w:val="none" w:sz="0" w:space="0" w:color="auto"/>
        <w:bottom w:val="none" w:sz="0" w:space="0" w:color="auto"/>
        <w:right w:val="none" w:sz="0" w:space="0" w:color="auto"/>
      </w:divBdr>
    </w:div>
    <w:div w:id="122578054">
      <w:bodyDiv w:val="1"/>
      <w:marLeft w:val="0"/>
      <w:marRight w:val="0"/>
      <w:marTop w:val="0"/>
      <w:marBottom w:val="0"/>
      <w:divBdr>
        <w:top w:val="none" w:sz="0" w:space="0" w:color="auto"/>
        <w:left w:val="none" w:sz="0" w:space="0" w:color="auto"/>
        <w:bottom w:val="none" w:sz="0" w:space="0" w:color="auto"/>
        <w:right w:val="none" w:sz="0" w:space="0" w:color="auto"/>
      </w:divBdr>
    </w:div>
    <w:div w:id="151140509">
      <w:bodyDiv w:val="1"/>
      <w:marLeft w:val="0"/>
      <w:marRight w:val="0"/>
      <w:marTop w:val="0"/>
      <w:marBottom w:val="0"/>
      <w:divBdr>
        <w:top w:val="none" w:sz="0" w:space="0" w:color="auto"/>
        <w:left w:val="none" w:sz="0" w:space="0" w:color="auto"/>
        <w:bottom w:val="none" w:sz="0" w:space="0" w:color="auto"/>
        <w:right w:val="none" w:sz="0" w:space="0" w:color="auto"/>
      </w:divBdr>
    </w:div>
    <w:div w:id="152452631">
      <w:bodyDiv w:val="1"/>
      <w:marLeft w:val="0"/>
      <w:marRight w:val="0"/>
      <w:marTop w:val="0"/>
      <w:marBottom w:val="0"/>
      <w:divBdr>
        <w:top w:val="none" w:sz="0" w:space="0" w:color="auto"/>
        <w:left w:val="none" w:sz="0" w:space="0" w:color="auto"/>
        <w:bottom w:val="none" w:sz="0" w:space="0" w:color="auto"/>
        <w:right w:val="none" w:sz="0" w:space="0" w:color="auto"/>
      </w:divBdr>
    </w:div>
    <w:div w:id="164785291">
      <w:bodyDiv w:val="1"/>
      <w:marLeft w:val="0"/>
      <w:marRight w:val="0"/>
      <w:marTop w:val="0"/>
      <w:marBottom w:val="0"/>
      <w:divBdr>
        <w:top w:val="none" w:sz="0" w:space="0" w:color="auto"/>
        <w:left w:val="none" w:sz="0" w:space="0" w:color="auto"/>
        <w:bottom w:val="none" w:sz="0" w:space="0" w:color="auto"/>
        <w:right w:val="none" w:sz="0" w:space="0" w:color="auto"/>
      </w:divBdr>
    </w:div>
    <w:div w:id="175120097">
      <w:bodyDiv w:val="1"/>
      <w:marLeft w:val="0"/>
      <w:marRight w:val="0"/>
      <w:marTop w:val="0"/>
      <w:marBottom w:val="0"/>
      <w:divBdr>
        <w:top w:val="none" w:sz="0" w:space="0" w:color="auto"/>
        <w:left w:val="none" w:sz="0" w:space="0" w:color="auto"/>
        <w:bottom w:val="none" w:sz="0" w:space="0" w:color="auto"/>
        <w:right w:val="none" w:sz="0" w:space="0" w:color="auto"/>
      </w:divBdr>
    </w:div>
    <w:div w:id="210044223">
      <w:bodyDiv w:val="1"/>
      <w:marLeft w:val="0"/>
      <w:marRight w:val="0"/>
      <w:marTop w:val="0"/>
      <w:marBottom w:val="0"/>
      <w:divBdr>
        <w:top w:val="none" w:sz="0" w:space="0" w:color="auto"/>
        <w:left w:val="none" w:sz="0" w:space="0" w:color="auto"/>
        <w:bottom w:val="none" w:sz="0" w:space="0" w:color="auto"/>
        <w:right w:val="none" w:sz="0" w:space="0" w:color="auto"/>
      </w:divBdr>
    </w:div>
    <w:div w:id="212040740">
      <w:bodyDiv w:val="1"/>
      <w:marLeft w:val="0"/>
      <w:marRight w:val="0"/>
      <w:marTop w:val="0"/>
      <w:marBottom w:val="0"/>
      <w:divBdr>
        <w:top w:val="none" w:sz="0" w:space="0" w:color="auto"/>
        <w:left w:val="none" w:sz="0" w:space="0" w:color="auto"/>
        <w:bottom w:val="none" w:sz="0" w:space="0" w:color="auto"/>
        <w:right w:val="none" w:sz="0" w:space="0" w:color="auto"/>
      </w:divBdr>
    </w:div>
    <w:div w:id="215551958">
      <w:bodyDiv w:val="1"/>
      <w:marLeft w:val="0"/>
      <w:marRight w:val="0"/>
      <w:marTop w:val="0"/>
      <w:marBottom w:val="0"/>
      <w:divBdr>
        <w:top w:val="none" w:sz="0" w:space="0" w:color="auto"/>
        <w:left w:val="none" w:sz="0" w:space="0" w:color="auto"/>
        <w:bottom w:val="none" w:sz="0" w:space="0" w:color="auto"/>
        <w:right w:val="none" w:sz="0" w:space="0" w:color="auto"/>
      </w:divBdr>
    </w:div>
    <w:div w:id="216744550">
      <w:bodyDiv w:val="1"/>
      <w:marLeft w:val="0"/>
      <w:marRight w:val="0"/>
      <w:marTop w:val="0"/>
      <w:marBottom w:val="0"/>
      <w:divBdr>
        <w:top w:val="none" w:sz="0" w:space="0" w:color="auto"/>
        <w:left w:val="none" w:sz="0" w:space="0" w:color="auto"/>
        <w:bottom w:val="none" w:sz="0" w:space="0" w:color="auto"/>
        <w:right w:val="none" w:sz="0" w:space="0" w:color="auto"/>
      </w:divBdr>
    </w:div>
    <w:div w:id="258565964">
      <w:bodyDiv w:val="1"/>
      <w:marLeft w:val="0"/>
      <w:marRight w:val="0"/>
      <w:marTop w:val="0"/>
      <w:marBottom w:val="0"/>
      <w:divBdr>
        <w:top w:val="none" w:sz="0" w:space="0" w:color="auto"/>
        <w:left w:val="none" w:sz="0" w:space="0" w:color="auto"/>
        <w:bottom w:val="none" w:sz="0" w:space="0" w:color="auto"/>
        <w:right w:val="none" w:sz="0" w:space="0" w:color="auto"/>
      </w:divBdr>
    </w:div>
    <w:div w:id="291442623">
      <w:bodyDiv w:val="1"/>
      <w:marLeft w:val="0"/>
      <w:marRight w:val="0"/>
      <w:marTop w:val="0"/>
      <w:marBottom w:val="0"/>
      <w:divBdr>
        <w:top w:val="none" w:sz="0" w:space="0" w:color="auto"/>
        <w:left w:val="none" w:sz="0" w:space="0" w:color="auto"/>
        <w:bottom w:val="none" w:sz="0" w:space="0" w:color="auto"/>
        <w:right w:val="none" w:sz="0" w:space="0" w:color="auto"/>
      </w:divBdr>
    </w:div>
    <w:div w:id="346979808">
      <w:bodyDiv w:val="1"/>
      <w:marLeft w:val="0"/>
      <w:marRight w:val="0"/>
      <w:marTop w:val="0"/>
      <w:marBottom w:val="0"/>
      <w:divBdr>
        <w:top w:val="none" w:sz="0" w:space="0" w:color="auto"/>
        <w:left w:val="none" w:sz="0" w:space="0" w:color="auto"/>
        <w:bottom w:val="none" w:sz="0" w:space="0" w:color="auto"/>
        <w:right w:val="none" w:sz="0" w:space="0" w:color="auto"/>
      </w:divBdr>
    </w:div>
    <w:div w:id="347878317">
      <w:bodyDiv w:val="1"/>
      <w:marLeft w:val="0"/>
      <w:marRight w:val="0"/>
      <w:marTop w:val="0"/>
      <w:marBottom w:val="0"/>
      <w:divBdr>
        <w:top w:val="none" w:sz="0" w:space="0" w:color="auto"/>
        <w:left w:val="none" w:sz="0" w:space="0" w:color="auto"/>
        <w:bottom w:val="none" w:sz="0" w:space="0" w:color="auto"/>
        <w:right w:val="none" w:sz="0" w:space="0" w:color="auto"/>
      </w:divBdr>
    </w:div>
    <w:div w:id="370303756">
      <w:bodyDiv w:val="1"/>
      <w:marLeft w:val="0"/>
      <w:marRight w:val="0"/>
      <w:marTop w:val="0"/>
      <w:marBottom w:val="0"/>
      <w:divBdr>
        <w:top w:val="none" w:sz="0" w:space="0" w:color="auto"/>
        <w:left w:val="none" w:sz="0" w:space="0" w:color="auto"/>
        <w:bottom w:val="none" w:sz="0" w:space="0" w:color="auto"/>
        <w:right w:val="none" w:sz="0" w:space="0" w:color="auto"/>
      </w:divBdr>
    </w:div>
    <w:div w:id="387414811">
      <w:bodyDiv w:val="1"/>
      <w:marLeft w:val="0"/>
      <w:marRight w:val="0"/>
      <w:marTop w:val="0"/>
      <w:marBottom w:val="0"/>
      <w:divBdr>
        <w:top w:val="none" w:sz="0" w:space="0" w:color="auto"/>
        <w:left w:val="none" w:sz="0" w:space="0" w:color="auto"/>
        <w:bottom w:val="none" w:sz="0" w:space="0" w:color="auto"/>
        <w:right w:val="none" w:sz="0" w:space="0" w:color="auto"/>
      </w:divBdr>
    </w:div>
    <w:div w:id="400294451">
      <w:bodyDiv w:val="1"/>
      <w:marLeft w:val="0"/>
      <w:marRight w:val="0"/>
      <w:marTop w:val="0"/>
      <w:marBottom w:val="0"/>
      <w:divBdr>
        <w:top w:val="none" w:sz="0" w:space="0" w:color="auto"/>
        <w:left w:val="none" w:sz="0" w:space="0" w:color="auto"/>
        <w:bottom w:val="none" w:sz="0" w:space="0" w:color="auto"/>
        <w:right w:val="none" w:sz="0" w:space="0" w:color="auto"/>
      </w:divBdr>
    </w:div>
    <w:div w:id="402023198">
      <w:bodyDiv w:val="1"/>
      <w:marLeft w:val="0"/>
      <w:marRight w:val="0"/>
      <w:marTop w:val="0"/>
      <w:marBottom w:val="0"/>
      <w:divBdr>
        <w:top w:val="none" w:sz="0" w:space="0" w:color="auto"/>
        <w:left w:val="none" w:sz="0" w:space="0" w:color="auto"/>
        <w:bottom w:val="none" w:sz="0" w:space="0" w:color="auto"/>
        <w:right w:val="none" w:sz="0" w:space="0" w:color="auto"/>
      </w:divBdr>
    </w:div>
    <w:div w:id="406001180">
      <w:bodyDiv w:val="1"/>
      <w:marLeft w:val="0"/>
      <w:marRight w:val="0"/>
      <w:marTop w:val="0"/>
      <w:marBottom w:val="0"/>
      <w:divBdr>
        <w:top w:val="none" w:sz="0" w:space="0" w:color="auto"/>
        <w:left w:val="none" w:sz="0" w:space="0" w:color="auto"/>
        <w:bottom w:val="none" w:sz="0" w:space="0" w:color="auto"/>
        <w:right w:val="none" w:sz="0" w:space="0" w:color="auto"/>
      </w:divBdr>
    </w:div>
    <w:div w:id="447627476">
      <w:bodyDiv w:val="1"/>
      <w:marLeft w:val="0"/>
      <w:marRight w:val="0"/>
      <w:marTop w:val="0"/>
      <w:marBottom w:val="0"/>
      <w:divBdr>
        <w:top w:val="none" w:sz="0" w:space="0" w:color="auto"/>
        <w:left w:val="none" w:sz="0" w:space="0" w:color="auto"/>
        <w:bottom w:val="none" w:sz="0" w:space="0" w:color="auto"/>
        <w:right w:val="none" w:sz="0" w:space="0" w:color="auto"/>
      </w:divBdr>
    </w:div>
    <w:div w:id="473723312">
      <w:bodyDiv w:val="1"/>
      <w:marLeft w:val="0"/>
      <w:marRight w:val="0"/>
      <w:marTop w:val="0"/>
      <w:marBottom w:val="0"/>
      <w:divBdr>
        <w:top w:val="none" w:sz="0" w:space="0" w:color="auto"/>
        <w:left w:val="none" w:sz="0" w:space="0" w:color="auto"/>
        <w:bottom w:val="none" w:sz="0" w:space="0" w:color="auto"/>
        <w:right w:val="none" w:sz="0" w:space="0" w:color="auto"/>
      </w:divBdr>
    </w:div>
    <w:div w:id="475149935">
      <w:bodyDiv w:val="1"/>
      <w:marLeft w:val="0"/>
      <w:marRight w:val="0"/>
      <w:marTop w:val="0"/>
      <w:marBottom w:val="0"/>
      <w:divBdr>
        <w:top w:val="none" w:sz="0" w:space="0" w:color="auto"/>
        <w:left w:val="none" w:sz="0" w:space="0" w:color="auto"/>
        <w:bottom w:val="none" w:sz="0" w:space="0" w:color="auto"/>
        <w:right w:val="none" w:sz="0" w:space="0" w:color="auto"/>
      </w:divBdr>
    </w:div>
    <w:div w:id="495073758">
      <w:bodyDiv w:val="1"/>
      <w:marLeft w:val="0"/>
      <w:marRight w:val="0"/>
      <w:marTop w:val="0"/>
      <w:marBottom w:val="0"/>
      <w:divBdr>
        <w:top w:val="none" w:sz="0" w:space="0" w:color="auto"/>
        <w:left w:val="none" w:sz="0" w:space="0" w:color="auto"/>
        <w:bottom w:val="none" w:sz="0" w:space="0" w:color="auto"/>
        <w:right w:val="none" w:sz="0" w:space="0" w:color="auto"/>
      </w:divBdr>
    </w:div>
    <w:div w:id="497576264">
      <w:bodyDiv w:val="1"/>
      <w:marLeft w:val="0"/>
      <w:marRight w:val="0"/>
      <w:marTop w:val="0"/>
      <w:marBottom w:val="0"/>
      <w:divBdr>
        <w:top w:val="none" w:sz="0" w:space="0" w:color="auto"/>
        <w:left w:val="none" w:sz="0" w:space="0" w:color="auto"/>
        <w:bottom w:val="none" w:sz="0" w:space="0" w:color="auto"/>
        <w:right w:val="none" w:sz="0" w:space="0" w:color="auto"/>
      </w:divBdr>
    </w:div>
    <w:div w:id="526720401">
      <w:bodyDiv w:val="1"/>
      <w:marLeft w:val="0"/>
      <w:marRight w:val="0"/>
      <w:marTop w:val="0"/>
      <w:marBottom w:val="0"/>
      <w:divBdr>
        <w:top w:val="none" w:sz="0" w:space="0" w:color="auto"/>
        <w:left w:val="none" w:sz="0" w:space="0" w:color="auto"/>
        <w:bottom w:val="none" w:sz="0" w:space="0" w:color="auto"/>
        <w:right w:val="none" w:sz="0" w:space="0" w:color="auto"/>
      </w:divBdr>
    </w:div>
    <w:div w:id="541095542">
      <w:bodyDiv w:val="1"/>
      <w:marLeft w:val="0"/>
      <w:marRight w:val="0"/>
      <w:marTop w:val="0"/>
      <w:marBottom w:val="0"/>
      <w:divBdr>
        <w:top w:val="none" w:sz="0" w:space="0" w:color="auto"/>
        <w:left w:val="none" w:sz="0" w:space="0" w:color="auto"/>
        <w:bottom w:val="none" w:sz="0" w:space="0" w:color="auto"/>
        <w:right w:val="none" w:sz="0" w:space="0" w:color="auto"/>
      </w:divBdr>
    </w:div>
    <w:div w:id="549651896">
      <w:bodyDiv w:val="1"/>
      <w:marLeft w:val="0"/>
      <w:marRight w:val="0"/>
      <w:marTop w:val="0"/>
      <w:marBottom w:val="0"/>
      <w:divBdr>
        <w:top w:val="none" w:sz="0" w:space="0" w:color="auto"/>
        <w:left w:val="none" w:sz="0" w:space="0" w:color="auto"/>
        <w:bottom w:val="none" w:sz="0" w:space="0" w:color="auto"/>
        <w:right w:val="none" w:sz="0" w:space="0" w:color="auto"/>
      </w:divBdr>
    </w:div>
    <w:div w:id="588386932">
      <w:bodyDiv w:val="1"/>
      <w:marLeft w:val="0"/>
      <w:marRight w:val="0"/>
      <w:marTop w:val="0"/>
      <w:marBottom w:val="0"/>
      <w:divBdr>
        <w:top w:val="none" w:sz="0" w:space="0" w:color="auto"/>
        <w:left w:val="none" w:sz="0" w:space="0" w:color="auto"/>
        <w:bottom w:val="none" w:sz="0" w:space="0" w:color="auto"/>
        <w:right w:val="none" w:sz="0" w:space="0" w:color="auto"/>
      </w:divBdr>
    </w:div>
    <w:div w:id="595093510">
      <w:bodyDiv w:val="1"/>
      <w:marLeft w:val="0"/>
      <w:marRight w:val="0"/>
      <w:marTop w:val="0"/>
      <w:marBottom w:val="0"/>
      <w:divBdr>
        <w:top w:val="none" w:sz="0" w:space="0" w:color="auto"/>
        <w:left w:val="none" w:sz="0" w:space="0" w:color="auto"/>
        <w:bottom w:val="none" w:sz="0" w:space="0" w:color="auto"/>
        <w:right w:val="none" w:sz="0" w:space="0" w:color="auto"/>
      </w:divBdr>
    </w:div>
    <w:div w:id="603000858">
      <w:bodyDiv w:val="1"/>
      <w:marLeft w:val="0"/>
      <w:marRight w:val="0"/>
      <w:marTop w:val="0"/>
      <w:marBottom w:val="0"/>
      <w:divBdr>
        <w:top w:val="none" w:sz="0" w:space="0" w:color="auto"/>
        <w:left w:val="none" w:sz="0" w:space="0" w:color="auto"/>
        <w:bottom w:val="none" w:sz="0" w:space="0" w:color="auto"/>
        <w:right w:val="none" w:sz="0" w:space="0" w:color="auto"/>
      </w:divBdr>
    </w:div>
    <w:div w:id="605164103">
      <w:bodyDiv w:val="1"/>
      <w:marLeft w:val="0"/>
      <w:marRight w:val="0"/>
      <w:marTop w:val="0"/>
      <w:marBottom w:val="0"/>
      <w:divBdr>
        <w:top w:val="none" w:sz="0" w:space="0" w:color="auto"/>
        <w:left w:val="none" w:sz="0" w:space="0" w:color="auto"/>
        <w:bottom w:val="none" w:sz="0" w:space="0" w:color="auto"/>
        <w:right w:val="none" w:sz="0" w:space="0" w:color="auto"/>
      </w:divBdr>
    </w:div>
    <w:div w:id="613094670">
      <w:bodyDiv w:val="1"/>
      <w:marLeft w:val="0"/>
      <w:marRight w:val="0"/>
      <w:marTop w:val="0"/>
      <w:marBottom w:val="0"/>
      <w:divBdr>
        <w:top w:val="none" w:sz="0" w:space="0" w:color="auto"/>
        <w:left w:val="none" w:sz="0" w:space="0" w:color="auto"/>
        <w:bottom w:val="none" w:sz="0" w:space="0" w:color="auto"/>
        <w:right w:val="none" w:sz="0" w:space="0" w:color="auto"/>
      </w:divBdr>
    </w:div>
    <w:div w:id="615672683">
      <w:bodyDiv w:val="1"/>
      <w:marLeft w:val="0"/>
      <w:marRight w:val="0"/>
      <w:marTop w:val="0"/>
      <w:marBottom w:val="0"/>
      <w:divBdr>
        <w:top w:val="none" w:sz="0" w:space="0" w:color="auto"/>
        <w:left w:val="none" w:sz="0" w:space="0" w:color="auto"/>
        <w:bottom w:val="none" w:sz="0" w:space="0" w:color="auto"/>
        <w:right w:val="none" w:sz="0" w:space="0" w:color="auto"/>
      </w:divBdr>
    </w:div>
    <w:div w:id="617445217">
      <w:bodyDiv w:val="1"/>
      <w:marLeft w:val="0"/>
      <w:marRight w:val="0"/>
      <w:marTop w:val="0"/>
      <w:marBottom w:val="0"/>
      <w:divBdr>
        <w:top w:val="none" w:sz="0" w:space="0" w:color="auto"/>
        <w:left w:val="none" w:sz="0" w:space="0" w:color="auto"/>
        <w:bottom w:val="none" w:sz="0" w:space="0" w:color="auto"/>
        <w:right w:val="none" w:sz="0" w:space="0" w:color="auto"/>
      </w:divBdr>
    </w:div>
    <w:div w:id="620457187">
      <w:bodyDiv w:val="1"/>
      <w:marLeft w:val="0"/>
      <w:marRight w:val="0"/>
      <w:marTop w:val="0"/>
      <w:marBottom w:val="0"/>
      <w:divBdr>
        <w:top w:val="none" w:sz="0" w:space="0" w:color="auto"/>
        <w:left w:val="none" w:sz="0" w:space="0" w:color="auto"/>
        <w:bottom w:val="none" w:sz="0" w:space="0" w:color="auto"/>
        <w:right w:val="none" w:sz="0" w:space="0" w:color="auto"/>
      </w:divBdr>
    </w:div>
    <w:div w:id="625084065">
      <w:bodyDiv w:val="1"/>
      <w:marLeft w:val="0"/>
      <w:marRight w:val="0"/>
      <w:marTop w:val="0"/>
      <w:marBottom w:val="0"/>
      <w:divBdr>
        <w:top w:val="none" w:sz="0" w:space="0" w:color="auto"/>
        <w:left w:val="none" w:sz="0" w:space="0" w:color="auto"/>
        <w:bottom w:val="none" w:sz="0" w:space="0" w:color="auto"/>
        <w:right w:val="none" w:sz="0" w:space="0" w:color="auto"/>
      </w:divBdr>
    </w:div>
    <w:div w:id="664668715">
      <w:bodyDiv w:val="1"/>
      <w:marLeft w:val="0"/>
      <w:marRight w:val="0"/>
      <w:marTop w:val="0"/>
      <w:marBottom w:val="0"/>
      <w:divBdr>
        <w:top w:val="none" w:sz="0" w:space="0" w:color="auto"/>
        <w:left w:val="none" w:sz="0" w:space="0" w:color="auto"/>
        <w:bottom w:val="none" w:sz="0" w:space="0" w:color="auto"/>
        <w:right w:val="none" w:sz="0" w:space="0" w:color="auto"/>
      </w:divBdr>
    </w:div>
    <w:div w:id="669062239">
      <w:bodyDiv w:val="1"/>
      <w:marLeft w:val="0"/>
      <w:marRight w:val="0"/>
      <w:marTop w:val="0"/>
      <w:marBottom w:val="0"/>
      <w:divBdr>
        <w:top w:val="none" w:sz="0" w:space="0" w:color="auto"/>
        <w:left w:val="none" w:sz="0" w:space="0" w:color="auto"/>
        <w:bottom w:val="none" w:sz="0" w:space="0" w:color="auto"/>
        <w:right w:val="none" w:sz="0" w:space="0" w:color="auto"/>
      </w:divBdr>
    </w:div>
    <w:div w:id="670645520">
      <w:bodyDiv w:val="1"/>
      <w:marLeft w:val="0"/>
      <w:marRight w:val="0"/>
      <w:marTop w:val="0"/>
      <w:marBottom w:val="0"/>
      <w:divBdr>
        <w:top w:val="none" w:sz="0" w:space="0" w:color="auto"/>
        <w:left w:val="none" w:sz="0" w:space="0" w:color="auto"/>
        <w:bottom w:val="none" w:sz="0" w:space="0" w:color="auto"/>
        <w:right w:val="none" w:sz="0" w:space="0" w:color="auto"/>
      </w:divBdr>
    </w:div>
    <w:div w:id="673460174">
      <w:bodyDiv w:val="1"/>
      <w:marLeft w:val="0"/>
      <w:marRight w:val="0"/>
      <w:marTop w:val="0"/>
      <w:marBottom w:val="0"/>
      <w:divBdr>
        <w:top w:val="none" w:sz="0" w:space="0" w:color="auto"/>
        <w:left w:val="none" w:sz="0" w:space="0" w:color="auto"/>
        <w:bottom w:val="none" w:sz="0" w:space="0" w:color="auto"/>
        <w:right w:val="none" w:sz="0" w:space="0" w:color="auto"/>
      </w:divBdr>
    </w:div>
    <w:div w:id="676884436">
      <w:bodyDiv w:val="1"/>
      <w:marLeft w:val="0"/>
      <w:marRight w:val="0"/>
      <w:marTop w:val="0"/>
      <w:marBottom w:val="0"/>
      <w:divBdr>
        <w:top w:val="none" w:sz="0" w:space="0" w:color="auto"/>
        <w:left w:val="none" w:sz="0" w:space="0" w:color="auto"/>
        <w:bottom w:val="none" w:sz="0" w:space="0" w:color="auto"/>
        <w:right w:val="none" w:sz="0" w:space="0" w:color="auto"/>
      </w:divBdr>
    </w:div>
    <w:div w:id="686910267">
      <w:bodyDiv w:val="1"/>
      <w:marLeft w:val="0"/>
      <w:marRight w:val="0"/>
      <w:marTop w:val="0"/>
      <w:marBottom w:val="0"/>
      <w:divBdr>
        <w:top w:val="none" w:sz="0" w:space="0" w:color="auto"/>
        <w:left w:val="none" w:sz="0" w:space="0" w:color="auto"/>
        <w:bottom w:val="none" w:sz="0" w:space="0" w:color="auto"/>
        <w:right w:val="none" w:sz="0" w:space="0" w:color="auto"/>
      </w:divBdr>
    </w:div>
    <w:div w:id="688020245">
      <w:bodyDiv w:val="1"/>
      <w:marLeft w:val="0"/>
      <w:marRight w:val="0"/>
      <w:marTop w:val="0"/>
      <w:marBottom w:val="0"/>
      <w:divBdr>
        <w:top w:val="none" w:sz="0" w:space="0" w:color="auto"/>
        <w:left w:val="none" w:sz="0" w:space="0" w:color="auto"/>
        <w:bottom w:val="none" w:sz="0" w:space="0" w:color="auto"/>
        <w:right w:val="none" w:sz="0" w:space="0" w:color="auto"/>
      </w:divBdr>
    </w:div>
    <w:div w:id="712117260">
      <w:bodyDiv w:val="1"/>
      <w:marLeft w:val="0"/>
      <w:marRight w:val="0"/>
      <w:marTop w:val="0"/>
      <w:marBottom w:val="0"/>
      <w:divBdr>
        <w:top w:val="none" w:sz="0" w:space="0" w:color="auto"/>
        <w:left w:val="none" w:sz="0" w:space="0" w:color="auto"/>
        <w:bottom w:val="none" w:sz="0" w:space="0" w:color="auto"/>
        <w:right w:val="none" w:sz="0" w:space="0" w:color="auto"/>
      </w:divBdr>
    </w:div>
    <w:div w:id="722408954">
      <w:bodyDiv w:val="1"/>
      <w:marLeft w:val="0"/>
      <w:marRight w:val="0"/>
      <w:marTop w:val="0"/>
      <w:marBottom w:val="0"/>
      <w:divBdr>
        <w:top w:val="none" w:sz="0" w:space="0" w:color="auto"/>
        <w:left w:val="none" w:sz="0" w:space="0" w:color="auto"/>
        <w:bottom w:val="none" w:sz="0" w:space="0" w:color="auto"/>
        <w:right w:val="none" w:sz="0" w:space="0" w:color="auto"/>
      </w:divBdr>
    </w:div>
    <w:div w:id="728849157">
      <w:bodyDiv w:val="1"/>
      <w:marLeft w:val="0"/>
      <w:marRight w:val="0"/>
      <w:marTop w:val="0"/>
      <w:marBottom w:val="0"/>
      <w:divBdr>
        <w:top w:val="none" w:sz="0" w:space="0" w:color="auto"/>
        <w:left w:val="none" w:sz="0" w:space="0" w:color="auto"/>
        <w:bottom w:val="none" w:sz="0" w:space="0" w:color="auto"/>
        <w:right w:val="none" w:sz="0" w:space="0" w:color="auto"/>
      </w:divBdr>
    </w:div>
    <w:div w:id="734746334">
      <w:bodyDiv w:val="1"/>
      <w:marLeft w:val="0"/>
      <w:marRight w:val="0"/>
      <w:marTop w:val="0"/>
      <w:marBottom w:val="0"/>
      <w:divBdr>
        <w:top w:val="none" w:sz="0" w:space="0" w:color="auto"/>
        <w:left w:val="none" w:sz="0" w:space="0" w:color="auto"/>
        <w:bottom w:val="none" w:sz="0" w:space="0" w:color="auto"/>
        <w:right w:val="none" w:sz="0" w:space="0" w:color="auto"/>
      </w:divBdr>
    </w:div>
    <w:div w:id="741408991">
      <w:bodyDiv w:val="1"/>
      <w:marLeft w:val="0"/>
      <w:marRight w:val="0"/>
      <w:marTop w:val="0"/>
      <w:marBottom w:val="0"/>
      <w:divBdr>
        <w:top w:val="none" w:sz="0" w:space="0" w:color="auto"/>
        <w:left w:val="none" w:sz="0" w:space="0" w:color="auto"/>
        <w:bottom w:val="none" w:sz="0" w:space="0" w:color="auto"/>
        <w:right w:val="none" w:sz="0" w:space="0" w:color="auto"/>
      </w:divBdr>
    </w:div>
    <w:div w:id="749428163">
      <w:bodyDiv w:val="1"/>
      <w:marLeft w:val="0"/>
      <w:marRight w:val="0"/>
      <w:marTop w:val="0"/>
      <w:marBottom w:val="0"/>
      <w:divBdr>
        <w:top w:val="none" w:sz="0" w:space="0" w:color="auto"/>
        <w:left w:val="none" w:sz="0" w:space="0" w:color="auto"/>
        <w:bottom w:val="none" w:sz="0" w:space="0" w:color="auto"/>
        <w:right w:val="none" w:sz="0" w:space="0" w:color="auto"/>
      </w:divBdr>
    </w:div>
    <w:div w:id="757291729">
      <w:bodyDiv w:val="1"/>
      <w:marLeft w:val="0"/>
      <w:marRight w:val="0"/>
      <w:marTop w:val="0"/>
      <w:marBottom w:val="0"/>
      <w:divBdr>
        <w:top w:val="none" w:sz="0" w:space="0" w:color="auto"/>
        <w:left w:val="none" w:sz="0" w:space="0" w:color="auto"/>
        <w:bottom w:val="none" w:sz="0" w:space="0" w:color="auto"/>
        <w:right w:val="none" w:sz="0" w:space="0" w:color="auto"/>
      </w:divBdr>
    </w:div>
    <w:div w:id="796332896">
      <w:bodyDiv w:val="1"/>
      <w:marLeft w:val="0"/>
      <w:marRight w:val="0"/>
      <w:marTop w:val="0"/>
      <w:marBottom w:val="0"/>
      <w:divBdr>
        <w:top w:val="none" w:sz="0" w:space="0" w:color="auto"/>
        <w:left w:val="none" w:sz="0" w:space="0" w:color="auto"/>
        <w:bottom w:val="none" w:sz="0" w:space="0" w:color="auto"/>
        <w:right w:val="none" w:sz="0" w:space="0" w:color="auto"/>
      </w:divBdr>
    </w:div>
    <w:div w:id="803347725">
      <w:bodyDiv w:val="1"/>
      <w:marLeft w:val="0"/>
      <w:marRight w:val="0"/>
      <w:marTop w:val="0"/>
      <w:marBottom w:val="0"/>
      <w:divBdr>
        <w:top w:val="none" w:sz="0" w:space="0" w:color="auto"/>
        <w:left w:val="none" w:sz="0" w:space="0" w:color="auto"/>
        <w:bottom w:val="none" w:sz="0" w:space="0" w:color="auto"/>
        <w:right w:val="none" w:sz="0" w:space="0" w:color="auto"/>
      </w:divBdr>
    </w:div>
    <w:div w:id="809519533">
      <w:bodyDiv w:val="1"/>
      <w:marLeft w:val="0"/>
      <w:marRight w:val="0"/>
      <w:marTop w:val="0"/>
      <w:marBottom w:val="0"/>
      <w:divBdr>
        <w:top w:val="none" w:sz="0" w:space="0" w:color="auto"/>
        <w:left w:val="none" w:sz="0" w:space="0" w:color="auto"/>
        <w:bottom w:val="none" w:sz="0" w:space="0" w:color="auto"/>
        <w:right w:val="none" w:sz="0" w:space="0" w:color="auto"/>
      </w:divBdr>
    </w:div>
    <w:div w:id="819468664">
      <w:bodyDiv w:val="1"/>
      <w:marLeft w:val="0"/>
      <w:marRight w:val="0"/>
      <w:marTop w:val="0"/>
      <w:marBottom w:val="0"/>
      <w:divBdr>
        <w:top w:val="none" w:sz="0" w:space="0" w:color="auto"/>
        <w:left w:val="none" w:sz="0" w:space="0" w:color="auto"/>
        <w:bottom w:val="none" w:sz="0" w:space="0" w:color="auto"/>
        <w:right w:val="none" w:sz="0" w:space="0" w:color="auto"/>
      </w:divBdr>
    </w:div>
    <w:div w:id="826435069">
      <w:bodyDiv w:val="1"/>
      <w:marLeft w:val="0"/>
      <w:marRight w:val="0"/>
      <w:marTop w:val="0"/>
      <w:marBottom w:val="0"/>
      <w:divBdr>
        <w:top w:val="none" w:sz="0" w:space="0" w:color="auto"/>
        <w:left w:val="none" w:sz="0" w:space="0" w:color="auto"/>
        <w:bottom w:val="none" w:sz="0" w:space="0" w:color="auto"/>
        <w:right w:val="none" w:sz="0" w:space="0" w:color="auto"/>
      </w:divBdr>
    </w:div>
    <w:div w:id="828059781">
      <w:bodyDiv w:val="1"/>
      <w:marLeft w:val="0"/>
      <w:marRight w:val="0"/>
      <w:marTop w:val="0"/>
      <w:marBottom w:val="0"/>
      <w:divBdr>
        <w:top w:val="none" w:sz="0" w:space="0" w:color="auto"/>
        <w:left w:val="none" w:sz="0" w:space="0" w:color="auto"/>
        <w:bottom w:val="none" w:sz="0" w:space="0" w:color="auto"/>
        <w:right w:val="none" w:sz="0" w:space="0" w:color="auto"/>
      </w:divBdr>
    </w:div>
    <w:div w:id="828521565">
      <w:bodyDiv w:val="1"/>
      <w:marLeft w:val="0"/>
      <w:marRight w:val="0"/>
      <w:marTop w:val="0"/>
      <w:marBottom w:val="0"/>
      <w:divBdr>
        <w:top w:val="none" w:sz="0" w:space="0" w:color="auto"/>
        <w:left w:val="none" w:sz="0" w:space="0" w:color="auto"/>
        <w:bottom w:val="none" w:sz="0" w:space="0" w:color="auto"/>
        <w:right w:val="none" w:sz="0" w:space="0" w:color="auto"/>
      </w:divBdr>
    </w:div>
    <w:div w:id="836311146">
      <w:bodyDiv w:val="1"/>
      <w:marLeft w:val="0"/>
      <w:marRight w:val="0"/>
      <w:marTop w:val="0"/>
      <w:marBottom w:val="0"/>
      <w:divBdr>
        <w:top w:val="none" w:sz="0" w:space="0" w:color="auto"/>
        <w:left w:val="none" w:sz="0" w:space="0" w:color="auto"/>
        <w:bottom w:val="none" w:sz="0" w:space="0" w:color="auto"/>
        <w:right w:val="none" w:sz="0" w:space="0" w:color="auto"/>
      </w:divBdr>
    </w:div>
    <w:div w:id="888878915">
      <w:bodyDiv w:val="1"/>
      <w:marLeft w:val="0"/>
      <w:marRight w:val="0"/>
      <w:marTop w:val="0"/>
      <w:marBottom w:val="0"/>
      <w:divBdr>
        <w:top w:val="none" w:sz="0" w:space="0" w:color="auto"/>
        <w:left w:val="none" w:sz="0" w:space="0" w:color="auto"/>
        <w:bottom w:val="none" w:sz="0" w:space="0" w:color="auto"/>
        <w:right w:val="none" w:sz="0" w:space="0" w:color="auto"/>
      </w:divBdr>
    </w:div>
    <w:div w:id="933628032">
      <w:bodyDiv w:val="1"/>
      <w:marLeft w:val="0"/>
      <w:marRight w:val="0"/>
      <w:marTop w:val="0"/>
      <w:marBottom w:val="0"/>
      <w:divBdr>
        <w:top w:val="none" w:sz="0" w:space="0" w:color="auto"/>
        <w:left w:val="none" w:sz="0" w:space="0" w:color="auto"/>
        <w:bottom w:val="none" w:sz="0" w:space="0" w:color="auto"/>
        <w:right w:val="none" w:sz="0" w:space="0" w:color="auto"/>
      </w:divBdr>
    </w:div>
    <w:div w:id="934050703">
      <w:bodyDiv w:val="1"/>
      <w:marLeft w:val="0"/>
      <w:marRight w:val="0"/>
      <w:marTop w:val="0"/>
      <w:marBottom w:val="0"/>
      <w:divBdr>
        <w:top w:val="none" w:sz="0" w:space="0" w:color="auto"/>
        <w:left w:val="none" w:sz="0" w:space="0" w:color="auto"/>
        <w:bottom w:val="none" w:sz="0" w:space="0" w:color="auto"/>
        <w:right w:val="none" w:sz="0" w:space="0" w:color="auto"/>
      </w:divBdr>
    </w:div>
    <w:div w:id="936717509">
      <w:bodyDiv w:val="1"/>
      <w:marLeft w:val="0"/>
      <w:marRight w:val="0"/>
      <w:marTop w:val="0"/>
      <w:marBottom w:val="0"/>
      <w:divBdr>
        <w:top w:val="none" w:sz="0" w:space="0" w:color="auto"/>
        <w:left w:val="none" w:sz="0" w:space="0" w:color="auto"/>
        <w:bottom w:val="none" w:sz="0" w:space="0" w:color="auto"/>
        <w:right w:val="none" w:sz="0" w:space="0" w:color="auto"/>
      </w:divBdr>
    </w:div>
    <w:div w:id="948731765">
      <w:bodyDiv w:val="1"/>
      <w:marLeft w:val="0"/>
      <w:marRight w:val="0"/>
      <w:marTop w:val="0"/>
      <w:marBottom w:val="0"/>
      <w:divBdr>
        <w:top w:val="none" w:sz="0" w:space="0" w:color="auto"/>
        <w:left w:val="none" w:sz="0" w:space="0" w:color="auto"/>
        <w:bottom w:val="none" w:sz="0" w:space="0" w:color="auto"/>
        <w:right w:val="none" w:sz="0" w:space="0" w:color="auto"/>
      </w:divBdr>
    </w:div>
    <w:div w:id="949435856">
      <w:bodyDiv w:val="1"/>
      <w:marLeft w:val="0"/>
      <w:marRight w:val="0"/>
      <w:marTop w:val="0"/>
      <w:marBottom w:val="0"/>
      <w:divBdr>
        <w:top w:val="none" w:sz="0" w:space="0" w:color="auto"/>
        <w:left w:val="none" w:sz="0" w:space="0" w:color="auto"/>
        <w:bottom w:val="none" w:sz="0" w:space="0" w:color="auto"/>
        <w:right w:val="none" w:sz="0" w:space="0" w:color="auto"/>
      </w:divBdr>
    </w:div>
    <w:div w:id="968701962">
      <w:bodyDiv w:val="1"/>
      <w:marLeft w:val="0"/>
      <w:marRight w:val="0"/>
      <w:marTop w:val="0"/>
      <w:marBottom w:val="0"/>
      <w:divBdr>
        <w:top w:val="none" w:sz="0" w:space="0" w:color="auto"/>
        <w:left w:val="none" w:sz="0" w:space="0" w:color="auto"/>
        <w:bottom w:val="none" w:sz="0" w:space="0" w:color="auto"/>
        <w:right w:val="none" w:sz="0" w:space="0" w:color="auto"/>
      </w:divBdr>
    </w:div>
    <w:div w:id="968975477">
      <w:bodyDiv w:val="1"/>
      <w:marLeft w:val="0"/>
      <w:marRight w:val="0"/>
      <w:marTop w:val="0"/>
      <w:marBottom w:val="0"/>
      <w:divBdr>
        <w:top w:val="none" w:sz="0" w:space="0" w:color="auto"/>
        <w:left w:val="none" w:sz="0" w:space="0" w:color="auto"/>
        <w:bottom w:val="none" w:sz="0" w:space="0" w:color="auto"/>
        <w:right w:val="none" w:sz="0" w:space="0" w:color="auto"/>
      </w:divBdr>
    </w:div>
    <w:div w:id="978533421">
      <w:bodyDiv w:val="1"/>
      <w:marLeft w:val="0"/>
      <w:marRight w:val="0"/>
      <w:marTop w:val="0"/>
      <w:marBottom w:val="0"/>
      <w:divBdr>
        <w:top w:val="none" w:sz="0" w:space="0" w:color="auto"/>
        <w:left w:val="none" w:sz="0" w:space="0" w:color="auto"/>
        <w:bottom w:val="none" w:sz="0" w:space="0" w:color="auto"/>
        <w:right w:val="none" w:sz="0" w:space="0" w:color="auto"/>
      </w:divBdr>
    </w:div>
    <w:div w:id="998076194">
      <w:bodyDiv w:val="1"/>
      <w:marLeft w:val="0"/>
      <w:marRight w:val="0"/>
      <w:marTop w:val="0"/>
      <w:marBottom w:val="0"/>
      <w:divBdr>
        <w:top w:val="none" w:sz="0" w:space="0" w:color="auto"/>
        <w:left w:val="none" w:sz="0" w:space="0" w:color="auto"/>
        <w:bottom w:val="none" w:sz="0" w:space="0" w:color="auto"/>
        <w:right w:val="none" w:sz="0" w:space="0" w:color="auto"/>
      </w:divBdr>
    </w:div>
    <w:div w:id="1013265553">
      <w:bodyDiv w:val="1"/>
      <w:marLeft w:val="0"/>
      <w:marRight w:val="0"/>
      <w:marTop w:val="0"/>
      <w:marBottom w:val="0"/>
      <w:divBdr>
        <w:top w:val="none" w:sz="0" w:space="0" w:color="auto"/>
        <w:left w:val="none" w:sz="0" w:space="0" w:color="auto"/>
        <w:bottom w:val="none" w:sz="0" w:space="0" w:color="auto"/>
        <w:right w:val="none" w:sz="0" w:space="0" w:color="auto"/>
      </w:divBdr>
    </w:div>
    <w:div w:id="1015116490">
      <w:bodyDiv w:val="1"/>
      <w:marLeft w:val="0"/>
      <w:marRight w:val="0"/>
      <w:marTop w:val="0"/>
      <w:marBottom w:val="0"/>
      <w:divBdr>
        <w:top w:val="none" w:sz="0" w:space="0" w:color="auto"/>
        <w:left w:val="none" w:sz="0" w:space="0" w:color="auto"/>
        <w:bottom w:val="none" w:sz="0" w:space="0" w:color="auto"/>
        <w:right w:val="none" w:sz="0" w:space="0" w:color="auto"/>
      </w:divBdr>
    </w:div>
    <w:div w:id="1032733628">
      <w:bodyDiv w:val="1"/>
      <w:marLeft w:val="0"/>
      <w:marRight w:val="0"/>
      <w:marTop w:val="0"/>
      <w:marBottom w:val="0"/>
      <w:divBdr>
        <w:top w:val="none" w:sz="0" w:space="0" w:color="auto"/>
        <w:left w:val="none" w:sz="0" w:space="0" w:color="auto"/>
        <w:bottom w:val="none" w:sz="0" w:space="0" w:color="auto"/>
        <w:right w:val="none" w:sz="0" w:space="0" w:color="auto"/>
      </w:divBdr>
    </w:div>
    <w:div w:id="1049106014">
      <w:bodyDiv w:val="1"/>
      <w:marLeft w:val="0"/>
      <w:marRight w:val="0"/>
      <w:marTop w:val="0"/>
      <w:marBottom w:val="0"/>
      <w:divBdr>
        <w:top w:val="none" w:sz="0" w:space="0" w:color="auto"/>
        <w:left w:val="none" w:sz="0" w:space="0" w:color="auto"/>
        <w:bottom w:val="none" w:sz="0" w:space="0" w:color="auto"/>
        <w:right w:val="none" w:sz="0" w:space="0" w:color="auto"/>
      </w:divBdr>
    </w:div>
    <w:div w:id="1052457527">
      <w:bodyDiv w:val="1"/>
      <w:marLeft w:val="0"/>
      <w:marRight w:val="0"/>
      <w:marTop w:val="0"/>
      <w:marBottom w:val="0"/>
      <w:divBdr>
        <w:top w:val="none" w:sz="0" w:space="0" w:color="auto"/>
        <w:left w:val="none" w:sz="0" w:space="0" w:color="auto"/>
        <w:bottom w:val="none" w:sz="0" w:space="0" w:color="auto"/>
        <w:right w:val="none" w:sz="0" w:space="0" w:color="auto"/>
      </w:divBdr>
    </w:div>
    <w:div w:id="1053650499">
      <w:bodyDiv w:val="1"/>
      <w:marLeft w:val="0"/>
      <w:marRight w:val="0"/>
      <w:marTop w:val="0"/>
      <w:marBottom w:val="0"/>
      <w:divBdr>
        <w:top w:val="none" w:sz="0" w:space="0" w:color="auto"/>
        <w:left w:val="none" w:sz="0" w:space="0" w:color="auto"/>
        <w:bottom w:val="none" w:sz="0" w:space="0" w:color="auto"/>
        <w:right w:val="none" w:sz="0" w:space="0" w:color="auto"/>
      </w:divBdr>
    </w:div>
    <w:div w:id="1066223760">
      <w:bodyDiv w:val="1"/>
      <w:marLeft w:val="0"/>
      <w:marRight w:val="0"/>
      <w:marTop w:val="0"/>
      <w:marBottom w:val="0"/>
      <w:divBdr>
        <w:top w:val="none" w:sz="0" w:space="0" w:color="auto"/>
        <w:left w:val="none" w:sz="0" w:space="0" w:color="auto"/>
        <w:bottom w:val="none" w:sz="0" w:space="0" w:color="auto"/>
        <w:right w:val="none" w:sz="0" w:space="0" w:color="auto"/>
      </w:divBdr>
    </w:div>
    <w:div w:id="1078748000">
      <w:bodyDiv w:val="1"/>
      <w:marLeft w:val="0"/>
      <w:marRight w:val="0"/>
      <w:marTop w:val="0"/>
      <w:marBottom w:val="0"/>
      <w:divBdr>
        <w:top w:val="none" w:sz="0" w:space="0" w:color="auto"/>
        <w:left w:val="none" w:sz="0" w:space="0" w:color="auto"/>
        <w:bottom w:val="none" w:sz="0" w:space="0" w:color="auto"/>
        <w:right w:val="none" w:sz="0" w:space="0" w:color="auto"/>
      </w:divBdr>
    </w:div>
    <w:div w:id="1112825840">
      <w:bodyDiv w:val="1"/>
      <w:marLeft w:val="0"/>
      <w:marRight w:val="0"/>
      <w:marTop w:val="0"/>
      <w:marBottom w:val="0"/>
      <w:divBdr>
        <w:top w:val="none" w:sz="0" w:space="0" w:color="auto"/>
        <w:left w:val="none" w:sz="0" w:space="0" w:color="auto"/>
        <w:bottom w:val="none" w:sz="0" w:space="0" w:color="auto"/>
        <w:right w:val="none" w:sz="0" w:space="0" w:color="auto"/>
      </w:divBdr>
    </w:div>
    <w:div w:id="1118330801">
      <w:bodyDiv w:val="1"/>
      <w:marLeft w:val="0"/>
      <w:marRight w:val="0"/>
      <w:marTop w:val="0"/>
      <w:marBottom w:val="0"/>
      <w:divBdr>
        <w:top w:val="none" w:sz="0" w:space="0" w:color="auto"/>
        <w:left w:val="none" w:sz="0" w:space="0" w:color="auto"/>
        <w:bottom w:val="none" w:sz="0" w:space="0" w:color="auto"/>
        <w:right w:val="none" w:sz="0" w:space="0" w:color="auto"/>
      </w:divBdr>
    </w:div>
    <w:div w:id="1120108395">
      <w:bodyDiv w:val="1"/>
      <w:marLeft w:val="0"/>
      <w:marRight w:val="0"/>
      <w:marTop w:val="0"/>
      <w:marBottom w:val="0"/>
      <w:divBdr>
        <w:top w:val="none" w:sz="0" w:space="0" w:color="auto"/>
        <w:left w:val="none" w:sz="0" w:space="0" w:color="auto"/>
        <w:bottom w:val="none" w:sz="0" w:space="0" w:color="auto"/>
        <w:right w:val="none" w:sz="0" w:space="0" w:color="auto"/>
      </w:divBdr>
    </w:div>
    <w:div w:id="1124543499">
      <w:bodyDiv w:val="1"/>
      <w:marLeft w:val="0"/>
      <w:marRight w:val="0"/>
      <w:marTop w:val="0"/>
      <w:marBottom w:val="0"/>
      <w:divBdr>
        <w:top w:val="none" w:sz="0" w:space="0" w:color="auto"/>
        <w:left w:val="none" w:sz="0" w:space="0" w:color="auto"/>
        <w:bottom w:val="none" w:sz="0" w:space="0" w:color="auto"/>
        <w:right w:val="none" w:sz="0" w:space="0" w:color="auto"/>
      </w:divBdr>
    </w:div>
    <w:div w:id="1133450960">
      <w:bodyDiv w:val="1"/>
      <w:marLeft w:val="0"/>
      <w:marRight w:val="0"/>
      <w:marTop w:val="0"/>
      <w:marBottom w:val="0"/>
      <w:divBdr>
        <w:top w:val="none" w:sz="0" w:space="0" w:color="auto"/>
        <w:left w:val="none" w:sz="0" w:space="0" w:color="auto"/>
        <w:bottom w:val="none" w:sz="0" w:space="0" w:color="auto"/>
        <w:right w:val="none" w:sz="0" w:space="0" w:color="auto"/>
      </w:divBdr>
    </w:div>
    <w:div w:id="1133794531">
      <w:bodyDiv w:val="1"/>
      <w:marLeft w:val="0"/>
      <w:marRight w:val="0"/>
      <w:marTop w:val="0"/>
      <w:marBottom w:val="0"/>
      <w:divBdr>
        <w:top w:val="none" w:sz="0" w:space="0" w:color="auto"/>
        <w:left w:val="none" w:sz="0" w:space="0" w:color="auto"/>
        <w:bottom w:val="none" w:sz="0" w:space="0" w:color="auto"/>
        <w:right w:val="none" w:sz="0" w:space="0" w:color="auto"/>
      </w:divBdr>
    </w:div>
    <w:div w:id="1150368681">
      <w:bodyDiv w:val="1"/>
      <w:marLeft w:val="0"/>
      <w:marRight w:val="0"/>
      <w:marTop w:val="0"/>
      <w:marBottom w:val="0"/>
      <w:divBdr>
        <w:top w:val="none" w:sz="0" w:space="0" w:color="auto"/>
        <w:left w:val="none" w:sz="0" w:space="0" w:color="auto"/>
        <w:bottom w:val="none" w:sz="0" w:space="0" w:color="auto"/>
        <w:right w:val="none" w:sz="0" w:space="0" w:color="auto"/>
      </w:divBdr>
    </w:div>
    <w:div w:id="1183856279">
      <w:bodyDiv w:val="1"/>
      <w:marLeft w:val="0"/>
      <w:marRight w:val="0"/>
      <w:marTop w:val="0"/>
      <w:marBottom w:val="0"/>
      <w:divBdr>
        <w:top w:val="none" w:sz="0" w:space="0" w:color="auto"/>
        <w:left w:val="none" w:sz="0" w:space="0" w:color="auto"/>
        <w:bottom w:val="none" w:sz="0" w:space="0" w:color="auto"/>
        <w:right w:val="none" w:sz="0" w:space="0" w:color="auto"/>
      </w:divBdr>
    </w:div>
    <w:div w:id="1192038721">
      <w:bodyDiv w:val="1"/>
      <w:marLeft w:val="0"/>
      <w:marRight w:val="0"/>
      <w:marTop w:val="0"/>
      <w:marBottom w:val="0"/>
      <w:divBdr>
        <w:top w:val="none" w:sz="0" w:space="0" w:color="auto"/>
        <w:left w:val="none" w:sz="0" w:space="0" w:color="auto"/>
        <w:bottom w:val="none" w:sz="0" w:space="0" w:color="auto"/>
        <w:right w:val="none" w:sz="0" w:space="0" w:color="auto"/>
      </w:divBdr>
    </w:div>
    <w:div w:id="1194687912">
      <w:bodyDiv w:val="1"/>
      <w:marLeft w:val="0"/>
      <w:marRight w:val="0"/>
      <w:marTop w:val="0"/>
      <w:marBottom w:val="0"/>
      <w:divBdr>
        <w:top w:val="none" w:sz="0" w:space="0" w:color="auto"/>
        <w:left w:val="none" w:sz="0" w:space="0" w:color="auto"/>
        <w:bottom w:val="none" w:sz="0" w:space="0" w:color="auto"/>
        <w:right w:val="none" w:sz="0" w:space="0" w:color="auto"/>
      </w:divBdr>
    </w:div>
    <w:div w:id="1217275518">
      <w:bodyDiv w:val="1"/>
      <w:marLeft w:val="0"/>
      <w:marRight w:val="0"/>
      <w:marTop w:val="0"/>
      <w:marBottom w:val="0"/>
      <w:divBdr>
        <w:top w:val="none" w:sz="0" w:space="0" w:color="auto"/>
        <w:left w:val="none" w:sz="0" w:space="0" w:color="auto"/>
        <w:bottom w:val="none" w:sz="0" w:space="0" w:color="auto"/>
        <w:right w:val="none" w:sz="0" w:space="0" w:color="auto"/>
      </w:divBdr>
    </w:div>
    <w:div w:id="1246957940">
      <w:bodyDiv w:val="1"/>
      <w:marLeft w:val="0"/>
      <w:marRight w:val="0"/>
      <w:marTop w:val="0"/>
      <w:marBottom w:val="0"/>
      <w:divBdr>
        <w:top w:val="none" w:sz="0" w:space="0" w:color="auto"/>
        <w:left w:val="none" w:sz="0" w:space="0" w:color="auto"/>
        <w:bottom w:val="none" w:sz="0" w:space="0" w:color="auto"/>
        <w:right w:val="none" w:sz="0" w:space="0" w:color="auto"/>
      </w:divBdr>
    </w:div>
    <w:div w:id="1258829418">
      <w:bodyDiv w:val="1"/>
      <w:marLeft w:val="0"/>
      <w:marRight w:val="0"/>
      <w:marTop w:val="0"/>
      <w:marBottom w:val="0"/>
      <w:divBdr>
        <w:top w:val="none" w:sz="0" w:space="0" w:color="auto"/>
        <w:left w:val="none" w:sz="0" w:space="0" w:color="auto"/>
        <w:bottom w:val="none" w:sz="0" w:space="0" w:color="auto"/>
        <w:right w:val="none" w:sz="0" w:space="0" w:color="auto"/>
      </w:divBdr>
    </w:div>
    <w:div w:id="1290014755">
      <w:bodyDiv w:val="1"/>
      <w:marLeft w:val="0"/>
      <w:marRight w:val="0"/>
      <w:marTop w:val="0"/>
      <w:marBottom w:val="0"/>
      <w:divBdr>
        <w:top w:val="none" w:sz="0" w:space="0" w:color="auto"/>
        <w:left w:val="none" w:sz="0" w:space="0" w:color="auto"/>
        <w:bottom w:val="none" w:sz="0" w:space="0" w:color="auto"/>
        <w:right w:val="none" w:sz="0" w:space="0" w:color="auto"/>
      </w:divBdr>
    </w:div>
    <w:div w:id="1306156861">
      <w:bodyDiv w:val="1"/>
      <w:marLeft w:val="0"/>
      <w:marRight w:val="0"/>
      <w:marTop w:val="0"/>
      <w:marBottom w:val="0"/>
      <w:divBdr>
        <w:top w:val="none" w:sz="0" w:space="0" w:color="auto"/>
        <w:left w:val="none" w:sz="0" w:space="0" w:color="auto"/>
        <w:bottom w:val="none" w:sz="0" w:space="0" w:color="auto"/>
        <w:right w:val="none" w:sz="0" w:space="0" w:color="auto"/>
      </w:divBdr>
    </w:div>
    <w:div w:id="1330256575">
      <w:bodyDiv w:val="1"/>
      <w:marLeft w:val="0"/>
      <w:marRight w:val="0"/>
      <w:marTop w:val="0"/>
      <w:marBottom w:val="0"/>
      <w:divBdr>
        <w:top w:val="none" w:sz="0" w:space="0" w:color="auto"/>
        <w:left w:val="none" w:sz="0" w:space="0" w:color="auto"/>
        <w:bottom w:val="none" w:sz="0" w:space="0" w:color="auto"/>
        <w:right w:val="none" w:sz="0" w:space="0" w:color="auto"/>
      </w:divBdr>
    </w:div>
    <w:div w:id="1356804188">
      <w:bodyDiv w:val="1"/>
      <w:marLeft w:val="0"/>
      <w:marRight w:val="0"/>
      <w:marTop w:val="0"/>
      <w:marBottom w:val="0"/>
      <w:divBdr>
        <w:top w:val="none" w:sz="0" w:space="0" w:color="auto"/>
        <w:left w:val="none" w:sz="0" w:space="0" w:color="auto"/>
        <w:bottom w:val="none" w:sz="0" w:space="0" w:color="auto"/>
        <w:right w:val="none" w:sz="0" w:space="0" w:color="auto"/>
      </w:divBdr>
    </w:div>
    <w:div w:id="1371304604">
      <w:bodyDiv w:val="1"/>
      <w:marLeft w:val="0"/>
      <w:marRight w:val="0"/>
      <w:marTop w:val="0"/>
      <w:marBottom w:val="0"/>
      <w:divBdr>
        <w:top w:val="none" w:sz="0" w:space="0" w:color="auto"/>
        <w:left w:val="none" w:sz="0" w:space="0" w:color="auto"/>
        <w:bottom w:val="none" w:sz="0" w:space="0" w:color="auto"/>
        <w:right w:val="none" w:sz="0" w:space="0" w:color="auto"/>
      </w:divBdr>
    </w:div>
    <w:div w:id="1375274067">
      <w:bodyDiv w:val="1"/>
      <w:marLeft w:val="0"/>
      <w:marRight w:val="0"/>
      <w:marTop w:val="0"/>
      <w:marBottom w:val="0"/>
      <w:divBdr>
        <w:top w:val="none" w:sz="0" w:space="0" w:color="auto"/>
        <w:left w:val="none" w:sz="0" w:space="0" w:color="auto"/>
        <w:bottom w:val="none" w:sz="0" w:space="0" w:color="auto"/>
        <w:right w:val="none" w:sz="0" w:space="0" w:color="auto"/>
      </w:divBdr>
    </w:div>
    <w:div w:id="1380207375">
      <w:bodyDiv w:val="1"/>
      <w:marLeft w:val="0"/>
      <w:marRight w:val="0"/>
      <w:marTop w:val="0"/>
      <w:marBottom w:val="0"/>
      <w:divBdr>
        <w:top w:val="none" w:sz="0" w:space="0" w:color="auto"/>
        <w:left w:val="none" w:sz="0" w:space="0" w:color="auto"/>
        <w:bottom w:val="none" w:sz="0" w:space="0" w:color="auto"/>
        <w:right w:val="none" w:sz="0" w:space="0" w:color="auto"/>
      </w:divBdr>
    </w:div>
    <w:div w:id="1394308770">
      <w:bodyDiv w:val="1"/>
      <w:marLeft w:val="0"/>
      <w:marRight w:val="0"/>
      <w:marTop w:val="0"/>
      <w:marBottom w:val="0"/>
      <w:divBdr>
        <w:top w:val="none" w:sz="0" w:space="0" w:color="auto"/>
        <w:left w:val="none" w:sz="0" w:space="0" w:color="auto"/>
        <w:bottom w:val="none" w:sz="0" w:space="0" w:color="auto"/>
        <w:right w:val="none" w:sz="0" w:space="0" w:color="auto"/>
      </w:divBdr>
    </w:div>
    <w:div w:id="1405883026">
      <w:bodyDiv w:val="1"/>
      <w:marLeft w:val="0"/>
      <w:marRight w:val="0"/>
      <w:marTop w:val="0"/>
      <w:marBottom w:val="0"/>
      <w:divBdr>
        <w:top w:val="none" w:sz="0" w:space="0" w:color="auto"/>
        <w:left w:val="none" w:sz="0" w:space="0" w:color="auto"/>
        <w:bottom w:val="none" w:sz="0" w:space="0" w:color="auto"/>
        <w:right w:val="none" w:sz="0" w:space="0" w:color="auto"/>
      </w:divBdr>
    </w:div>
    <w:div w:id="1432357998">
      <w:bodyDiv w:val="1"/>
      <w:marLeft w:val="0"/>
      <w:marRight w:val="0"/>
      <w:marTop w:val="0"/>
      <w:marBottom w:val="0"/>
      <w:divBdr>
        <w:top w:val="none" w:sz="0" w:space="0" w:color="auto"/>
        <w:left w:val="none" w:sz="0" w:space="0" w:color="auto"/>
        <w:bottom w:val="none" w:sz="0" w:space="0" w:color="auto"/>
        <w:right w:val="none" w:sz="0" w:space="0" w:color="auto"/>
      </w:divBdr>
    </w:div>
    <w:div w:id="1437216191">
      <w:bodyDiv w:val="1"/>
      <w:marLeft w:val="0"/>
      <w:marRight w:val="0"/>
      <w:marTop w:val="0"/>
      <w:marBottom w:val="0"/>
      <w:divBdr>
        <w:top w:val="none" w:sz="0" w:space="0" w:color="auto"/>
        <w:left w:val="none" w:sz="0" w:space="0" w:color="auto"/>
        <w:bottom w:val="none" w:sz="0" w:space="0" w:color="auto"/>
        <w:right w:val="none" w:sz="0" w:space="0" w:color="auto"/>
      </w:divBdr>
    </w:div>
    <w:div w:id="1451584867">
      <w:bodyDiv w:val="1"/>
      <w:marLeft w:val="0"/>
      <w:marRight w:val="0"/>
      <w:marTop w:val="0"/>
      <w:marBottom w:val="0"/>
      <w:divBdr>
        <w:top w:val="none" w:sz="0" w:space="0" w:color="auto"/>
        <w:left w:val="none" w:sz="0" w:space="0" w:color="auto"/>
        <w:bottom w:val="none" w:sz="0" w:space="0" w:color="auto"/>
        <w:right w:val="none" w:sz="0" w:space="0" w:color="auto"/>
      </w:divBdr>
    </w:div>
    <w:div w:id="1464272225">
      <w:bodyDiv w:val="1"/>
      <w:marLeft w:val="0"/>
      <w:marRight w:val="0"/>
      <w:marTop w:val="0"/>
      <w:marBottom w:val="0"/>
      <w:divBdr>
        <w:top w:val="none" w:sz="0" w:space="0" w:color="auto"/>
        <w:left w:val="none" w:sz="0" w:space="0" w:color="auto"/>
        <w:bottom w:val="none" w:sz="0" w:space="0" w:color="auto"/>
        <w:right w:val="none" w:sz="0" w:space="0" w:color="auto"/>
      </w:divBdr>
    </w:div>
    <w:div w:id="1485470478">
      <w:bodyDiv w:val="1"/>
      <w:marLeft w:val="0"/>
      <w:marRight w:val="0"/>
      <w:marTop w:val="0"/>
      <w:marBottom w:val="0"/>
      <w:divBdr>
        <w:top w:val="none" w:sz="0" w:space="0" w:color="auto"/>
        <w:left w:val="none" w:sz="0" w:space="0" w:color="auto"/>
        <w:bottom w:val="none" w:sz="0" w:space="0" w:color="auto"/>
        <w:right w:val="none" w:sz="0" w:space="0" w:color="auto"/>
      </w:divBdr>
    </w:div>
    <w:div w:id="1508397020">
      <w:bodyDiv w:val="1"/>
      <w:marLeft w:val="0"/>
      <w:marRight w:val="0"/>
      <w:marTop w:val="0"/>
      <w:marBottom w:val="0"/>
      <w:divBdr>
        <w:top w:val="none" w:sz="0" w:space="0" w:color="auto"/>
        <w:left w:val="none" w:sz="0" w:space="0" w:color="auto"/>
        <w:bottom w:val="none" w:sz="0" w:space="0" w:color="auto"/>
        <w:right w:val="none" w:sz="0" w:space="0" w:color="auto"/>
      </w:divBdr>
    </w:div>
    <w:div w:id="1521818624">
      <w:bodyDiv w:val="1"/>
      <w:marLeft w:val="0"/>
      <w:marRight w:val="0"/>
      <w:marTop w:val="0"/>
      <w:marBottom w:val="0"/>
      <w:divBdr>
        <w:top w:val="none" w:sz="0" w:space="0" w:color="auto"/>
        <w:left w:val="none" w:sz="0" w:space="0" w:color="auto"/>
        <w:bottom w:val="none" w:sz="0" w:space="0" w:color="auto"/>
        <w:right w:val="none" w:sz="0" w:space="0" w:color="auto"/>
      </w:divBdr>
    </w:div>
    <w:div w:id="1572042680">
      <w:bodyDiv w:val="1"/>
      <w:marLeft w:val="0"/>
      <w:marRight w:val="0"/>
      <w:marTop w:val="0"/>
      <w:marBottom w:val="0"/>
      <w:divBdr>
        <w:top w:val="none" w:sz="0" w:space="0" w:color="auto"/>
        <w:left w:val="none" w:sz="0" w:space="0" w:color="auto"/>
        <w:bottom w:val="none" w:sz="0" w:space="0" w:color="auto"/>
        <w:right w:val="none" w:sz="0" w:space="0" w:color="auto"/>
      </w:divBdr>
    </w:div>
    <w:div w:id="1575580776">
      <w:bodyDiv w:val="1"/>
      <w:marLeft w:val="0"/>
      <w:marRight w:val="0"/>
      <w:marTop w:val="0"/>
      <w:marBottom w:val="0"/>
      <w:divBdr>
        <w:top w:val="none" w:sz="0" w:space="0" w:color="auto"/>
        <w:left w:val="none" w:sz="0" w:space="0" w:color="auto"/>
        <w:bottom w:val="none" w:sz="0" w:space="0" w:color="auto"/>
        <w:right w:val="none" w:sz="0" w:space="0" w:color="auto"/>
      </w:divBdr>
    </w:div>
    <w:div w:id="1586064144">
      <w:bodyDiv w:val="1"/>
      <w:marLeft w:val="0"/>
      <w:marRight w:val="0"/>
      <w:marTop w:val="0"/>
      <w:marBottom w:val="0"/>
      <w:divBdr>
        <w:top w:val="none" w:sz="0" w:space="0" w:color="auto"/>
        <w:left w:val="none" w:sz="0" w:space="0" w:color="auto"/>
        <w:bottom w:val="none" w:sz="0" w:space="0" w:color="auto"/>
        <w:right w:val="none" w:sz="0" w:space="0" w:color="auto"/>
      </w:divBdr>
    </w:div>
    <w:div w:id="1591347559">
      <w:bodyDiv w:val="1"/>
      <w:marLeft w:val="0"/>
      <w:marRight w:val="0"/>
      <w:marTop w:val="0"/>
      <w:marBottom w:val="0"/>
      <w:divBdr>
        <w:top w:val="none" w:sz="0" w:space="0" w:color="auto"/>
        <w:left w:val="none" w:sz="0" w:space="0" w:color="auto"/>
        <w:bottom w:val="none" w:sz="0" w:space="0" w:color="auto"/>
        <w:right w:val="none" w:sz="0" w:space="0" w:color="auto"/>
      </w:divBdr>
    </w:div>
    <w:div w:id="1630160722">
      <w:bodyDiv w:val="1"/>
      <w:marLeft w:val="0"/>
      <w:marRight w:val="0"/>
      <w:marTop w:val="0"/>
      <w:marBottom w:val="0"/>
      <w:divBdr>
        <w:top w:val="none" w:sz="0" w:space="0" w:color="auto"/>
        <w:left w:val="none" w:sz="0" w:space="0" w:color="auto"/>
        <w:bottom w:val="none" w:sz="0" w:space="0" w:color="auto"/>
        <w:right w:val="none" w:sz="0" w:space="0" w:color="auto"/>
      </w:divBdr>
    </w:div>
    <w:div w:id="1650094852">
      <w:bodyDiv w:val="1"/>
      <w:marLeft w:val="0"/>
      <w:marRight w:val="0"/>
      <w:marTop w:val="0"/>
      <w:marBottom w:val="0"/>
      <w:divBdr>
        <w:top w:val="none" w:sz="0" w:space="0" w:color="auto"/>
        <w:left w:val="none" w:sz="0" w:space="0" w:color="auto"/>
        <w:bottom w:val="none" w:sz="0" w:space="0" w:color="auto"/>
        <w:right w:val="none" w:sz="0" w:space="0" w:color="auto"/>
      </w:divBdr>
    </w:div>
    <w:div w:id="1667512945">
      <w:bodyDiv w:val="1"/>
      <w:marLeft w:val="0"/>
      <w:marRight w:val="0"/>
      <w:marTop w:val="0"/>
      <w:marBottom w:val="0"/>
      <w:divBdr>
        <w:top w:val="none" w:sz="0" w:space="0" w:color="auto"/>
        <w:left w:val="none" w:sz="0" w:space="0" w:color="auto"/>
        <w:bottom w:val="none" w:sz="0" w:space="0" w:color="auto"/>
        <w:right w:val="none" w:sz="0" w:space="0" w:color="auto"/>
      </w:divBdr>
    </w:div>
    <w:div w:id="1668166718">
      <w:bodyDiv w:val="1"/>
      <w:marLeft w:val="0"/>
      <w:marRight w:val="0"/>
      <w:marTop w:val="0"/>
      <w:marBottom w:val="0"/>
      <w:divBdr>
        <w:top w:val="none" w:sz="0" w:space="0" w:color="auto"/>
        <w:left w:val="none" w:sz="0" w:space="0" w:color="auto"/>
        <w:bottom w:val="none" w:sz="0" w:space="0" w:color="auto"/>
        <w:right w:val="none" w:sz="0" w:space="0" w:color="auto"/>
      </w:divBdr>
    </w:div>
    <w:div w:id="1673948333">
      <w:bodyDiv w:val="1"/>
      <w:marLeft w:val="0"/>
      <w:marRight w:val="0"/>
      <w:marTop w:val="0"/>
      <w:marBottom w:val="0"/>
      <w:divBdr>
        <w:top w:val="none" w:sz="0" w:space="0" w:color="auto"/>
        <w:left w:val="none" w:sz="0" w:space="0" w:color="auto"/>
        <w:bottom w:val="none" w:sz="0" w:space="0" w:color="auto"/>
        <w:right w:val="none" w:sz="0" w:space="0" w:color="auto"/>
      </w:divBdr>
    </w:div>
    <w:div w:id="1677923022">
      <w:bodyDiv w:val="1"/>
      <w:marLeft w:val="0"/>
      <w:marRight w:val="0"/>
      <w:marTop w:val="0"/>
      <w:marBottom w:val="0"/>
      <w:divBdr>
        <w:top w:val="none" w:sz="0" w:space="0" w:color="auto"/>
        <w:left w:val="none" w:sz="0" w:space="0" w:color="auto"/>
        <w:bottom w:val="none" w:sz="0" w:space="0" w:color="auto"/>
        <w:right w:val="none" w:sz="0" w:space="0" w:color="auto"/>
      </w:divBdr>
    </w:div>
    <w:div w:id="1692074333">
      <w:bodyDiv w:val="1"/>
      <w:marLeft w:val="0"/>
      <w:marRight w:val="0"/>
      <w:marTop w:val="0"/>
      <w:marBottom w:val="0"/>
      <w:divBdr>
        <w:top w:val="none" w:sz="0" w:space="0" w:color="auto"/>
        <w:left w:val="none" w:sz="0" w:space="0" w:color="auto"/>
        <w:bottom w:val="none" w:sz="0" w:space="0" w:color="auto"/>
        <w:right w:val="none" w:sz="0" w:space="0" w:color="auto"/>
      </w:divBdr>
    </w:div>
    <w:div w:id="1695381840">
      <w:bodyDiv w:val="1"/>
      <w:marLeft w:val="0"/>
      <w:marRight w:val="0"/>
      <w:marTop w:val="0"/>
      <w:marBottom w:val="0"/>
      <w:divBdr>
        <w:top w:val="none" w:sz="0" w:space="0" w:color="auto"/>
        <w:left w:val="none" w:sz="0" w:space="0" w:color="auto"/>
        <w:bottom w:val="none" w:sz="0" w:space="0" w:color="auto"/>
        <w:right w:val="none" w:sz="0" w:space="0" w:color="auto"/>
      </w:divBdr>
    </w:div>
    <w:div w:id="1746535272">
      <w:bodyDiv w:val="1"/>
      <w:marLeft w:val="0"/>
      <w:marRight w:val="0"/>
      <w:marTop w:val="0"/>
      <w:marBottom w:val="0"/>
      <w:divBdr>
        <w:top w:val="none" w:sz="0" w:space="0" w:color="auto"/>
        <w:left w:val="none" w:sz="0" w:space="0" w:color="auto"/>
        <w:bottom w:val="none" w:sz="0" w:space="0" w:color="auto"/>
        <w:right w:val="none" w:sz="0" w:space="0" w:color="auto"/>
      </w:divBdr>
    </w:div>
    <w:div w:id="1750686035">
      <w:bodyDiv w:val="1"/>
      <w:marLeft w:val="0"/>
      <w:marRight w:val="0"/>
      <w:marTop w:val="0"/>
      <w:marBottom w:val="0"/>
      <w:divBdr>
        <w:top w:val="none" w:sz="0" w:space="0" w:color="auto"/>
        <w:left w:val="none" w:sz="0" w:space="0" w:color="auto"/>
        <w:bottom w:val="none" w:sz="0" w:space="0" w:color="auto"/>
        <w:right w:val="none" w:sz="0" w:space="0" w:color="auto"/>
      </w:divBdr>
    </w:div>
    <w:div w:id="1757703459">
      <w:bodyDiv w:val="1"/>
      <w:marLeft w:val="0"/>
      <w:marRight w:val="0"/>
      <w:marTop w:val="0"/>
      <w:marBottom w:val="0"/>
      <w:divBdr>
        <w:top w:val="none" w:sz="0" w:space="0" w:color="auto"/>
        <w:left w:val="none" w:sz="0" w:space="0" w:color="auto"/>
        <w:bottom w:val="none" w:sz="0" w:space="0" w:color="auto"/>
        <w:right w:val="none" w:sz="0" w:space="0" w:color="auto"/>
      </w:divBdr>
    </w:div>
    <w:div w:id="1779913587">
      <w:bodyDiv w:val="1"/>
      <w:marLeft w:val="0"/>
      <w:marRight w:val="0"/>
      <w:marTop w:val="0"/>
      <w:marBottom w:val="0"/>
      <w:divBdr>
        <w:top w:val="none" w:sz="0" w:space="0" w:color="auto"/>
        <w:left w:val="none" w:sz="0" w:space="0" w:color="auto"/>
        <w:bottom w:val="none" w:sz="0" w:space="0" w:color="auto"/>
        <w:right w:val="none" w:sz="0" w:space="0" w:color="auto"/>
      </w:divBdr>
    </w:div>
    <w:div w:id="1809006319">
      <w:bodyDiv w:val="1"/>
      <w:marLeft w:val="0"/>
      <w:marRight w:val="0"/>
      <w:marTop w:val="0"/>
      <w:marBottom w:val="0"/>
      <w:divBdr>
        <w:top w:val="none" w:sz="0" w:space="0" w:color="auto"/>
        <w:left w:val="none" w:sz="0" w:space="0" w:color="auto"/>
        <w:bottom w:val="none" w:sz="0" w:space="0" w:color="auto"/>
        <w:right w:val="none" w:sz="0" w:space="0" w:color="auto"/>
      </w:divBdr>
    </w:div>
    <w:div w:id="1815248406">
      <w:bodyDiv w:val="1"/>
      <w:marLeft w:val="0"/>
      <w:marRight w:val="0"/>
      <w:marTop w:val="0"/>
      <w:marBottom w:val="0"/>
      <w:divBdr>
        <w:top w:val="none" w:sz="0" w:space="0" w:color="auto"/>
        <w:left w:val="none" w:sz="0" w:space="0" w:color="auto"/>
        <w:bottom w:val="none" w:sz="0" w:space="0" w:color="auto"/>
        <w:right w:val="none" w:sz="0" w:space="0" w:color="auto"/>
      </w:divBdr>
    </w:div>
    <w:div w:id="1834450781">
      <w:bodyDiv w:val="1"/>
      <w:marLeft w:val="0"/>
      <w:marRight w:val="0"/>
      <w:marTop w:val="0"/>
      <w:marBottom w:val="0"/>
      <w:divBdr>
        <w:top w:val="none" w:sz="0" w:space="0" w:color="auto"/>
        <w:left w:val="none" w:sz="0" w:space="0" w:color="auto"/>
        <w:bottom w:val="none" w:sz="0" w:space="0" w:color="auto"/>
        <w:right w:val="none" w:sz="0" w:space="0" w:color="auto"/>
      </w:divBdr>
    </w:div>
    <w:div w:id="1838693731">
      <w:bodyDiv w:val="1"/>
      <w:marLeft w:val="0"/>
      <w:marRight w:val="0"/>
      <w:marTop w:val="0"/>
      <w:marBottom w:val="0"/>
      <w:divBdr>
        <w:top w:val="none" w:sz="0" w:space="0" w:color="auto"/>
        <w:left w:val="none" w:sz="0" w:space="0" w:color="auto"/>
        <w:bottom w:val="none" w:sz="0" w:space="0" w:color="auto"/>
        <w:right w:val="none" w:sz="0" w:space="0" w:color="auto"/>
      </w:divBdr>
    </w:div>
    <w:div w:id="1847357572">
      <w:bodyDiv w:val="1"/>
      <w:marLeft w:val="0"/>
      <w:marRight w:val="0"/>
      <w:marTop w:val="0"/>
      <w:marBottom w:val="0"/>
      <w:divBdr>
        <w:top w:val="none" w:sz="0" w:space="0" w:color="auto"/>
        <w:left w:val="none" w:sz="0" w:space="0" w:color="auto"/>
        <w:bottom w:val="none" w:sz="0" w:space="0" w:color="auto"/>
        <w:right w:val="none" w:sz="0" w:space="0" w:color="auto"/>
      </w:divBdr>
    </w:div>
    <w:div w:id="1850101464">
      <w:bodyDiv w:val="1"/>
      <w:marLeft w:val="0"/>
      <w:marRight w:val="0"/>
      <w:marTop w:val="0"/>
      <w:marBottom w:val="0"/>
      <w:divBdr>
        <w:top w:val="none" w:sz="0" w:space="0" w:color="auto"/>
        <w:left w:val="none" w:sz="0" w:space="0" w:color="auto"/>
        <w:bottom w:val="none" w:sz="0" w:space="0" w:color="auto"/>
        <w:right w:val="none" w:sz="0" w:space="0" w:color="auto"/>
      </w:divBdr>
    </w:div>
    <w:div w:id="1885364280">
      <w:bodyDiv w:val="1"/>
      <w:marLeft w:val="0"/>
      <w:marRight w:val="0"/>
      <w:marTop w:val="0"/>
      <w:marBottom w:val="0"/>
      <w:divBdr>
        <w:top w:val="none" w:sz="0" w:space="0" w:color="auto"/>
        <w:left w:val="none" w:sz="0" w:space="0" w:color="auto"/>
        <w:bottom w:val="none" w:sz="0" w:space="0" w:color="auto"/>
        <w:right w:val="none" w:sz="0" w:space="0" w:color="auto"/>
      </w:divBdr>
    </w:div>
    <w:div w:id="1928345440">
      <w:bodyDiv w:val="1"/>
      <w:marLeft w:val="0"/>
      <w:marRight w:val="0"/>
      <w:marTop w:val="0"/>
      <w:marBottom w:val="0"/>
      <w:divBdr>
        <w:top w:val="none" w:sz="0" w:space="0" w:color="auto"/>
        <w:left w:val="none" w:sz="0" w:space="0" w:color="auto"/>
        <w:bottom w:val="none" w:sz="0" w:space="0" w:color="auto"/>
        <w:right w:val="none" w:sz="0" w:space="0" w:color="auto"/>
      </w:divBdr>
    </w:div>
    <w:div w:id="1981226813">
      <w:bodyDiv w:val="1"/>
      <w:marLeft w:val="0"/>
      <w:marRight w:val="0"/>
      <w:marTop w:val="0"/>
      <w:marBottom w:val="0"/>
      <w:divBdr>
        <w:top w:val="none" w:sz="0" w:space="0" w:color="auto"/>
        <w:left w:val="none" w:sz="0" w:space="0" w:color="auto"/>
        <w:bottom w:val="none" w:sz="0" w:space="0" w:color="auto"/>
        <w:right w:val="none" w:sz="0" w:space="0" w:color="auto"/>
      </w:divBdr>
    </w:div>
    <w:div w:id="1987394708">
      <w:bodyDiv w:val="1"/>
      <w:marLeft w:val="0"/>
      <w:marRight w:val="0"/>
      <w:marTop w:val="0"/>
      <w:marBottom w:val="0"/>
      <w:divBdr>
        <w:top w:val="none" w:sz="0" w:space="0" w:color="auto"/>
        <w:left w:val="none" w:sz="0" w:space="0" w:color="auto"/>
        <w:bottom w:val="none" w:sz="0" w:space="0" w:color="auto"/>
        <w:right w:val="none" w:sz="0" w:space="0" w:color="auto"/>
      </w:divBdr>
    </w:div>
    <w:div w:id="1989943535">
      <w:bodyDiv w:val="1"/>
      <w:marLeft w:val="0"/>
      <w:marRight w:val="0"/>
      <w:marTop w:val="0"/>
      <w:marBottom w:val="0"/>
      <w:divBdr>
        <w:top w:val="none" w:sz="0" w:space="0" w:color="auto"/>
        <w:left w:val="none" w:sz="0" w:space="0" w:color="auto"/>
        <w:bottom w:val="none" w:sz="0" w:space="0" w:color="auto"/>
        <w:right w:val="none" w:sz="0" w:space="0" w:color="auto"/>
      </w:divBdr>
    </w:div>
    <w:div w:id="2028483752">
      <w:bodyDiv w:val="1"/>
      <w:marLeft w:val="0"/>
      <w:marRight w:val="0"/>
      <w:marTop w:val="0"/>
      <w:marBottom w:val="0"/>
      <w:divBdr>
        <w:top w:val="none" w:sz="0" w:space="0" w:color="auto"/>
        <w:left w:val="none" w:sz="0" w:space="0" w:color="auto"/>
        <w:bottom w:val="none" w:sz="0" w:space="0" w:color="auto"/>
        <w:right w:val="none" w:sz="0" w:space="0" w:color="auto"/>
      </w:divBdr>
    </w:div>
    <w:div w:id="2032946436">
      <w:bodyDiv w:val="1"/>
      <w:marLeft w:val="0"/>
      <w:marRight w:val="0"/>
      <w:marTop w:val="0"/>
      <w:marBottom w:val="0"/>
      <w:divBdr>
        <w:top w:val="none" w:sz="0" w:space="0" w:color="auto"/>
        <w:left w:val="none" w:sz="0" w:space="0" w:color="auto"/>
        <w:bottom w:val="none" w:sz="0" w:space="0" w:color="auto"/>
        <w:right w:val="none" w:sz="0" w:space="0" w:color="auto"/>
      </w:divBdr>
    </w:div>
    <w:div w:id="2053722635">
      <w:bodyDiv w:val="1"/>
      <w:marLeft w:val="0"/>
      <w:marRight w:val="0"/>
      <w:marTop w:val="0"/>
      <w:marBottom w:val="0"/>
      <w:divBdr>
        <w:top w:val="none" w:sz="0" w:space="0" w:color="auto"/>
        <w:left w:val="none" w:sz="0" w:space="0" w:color="auto"/>
        <w:bottom w:val="none" w:sz="0" w:space="0" w:color="auto"/>
        <w:right w:val="none" w:sz="0" w:space="0" w:color="auto"/>
      </w:divBdr>
    </w:div>
    <w:div w:id="2079555138">
      <w:bodyDiv w:val="1"/>
      <w:marLeft w:val="0"/>
      <w:marRight w:val="0"/>
      <w:marTop w:val="0"/>
      <w:marBottom w:val="0"/>
      <w:divBdr>
        <w:top w:val="none" w:sz="0" w:space="0" w:color="auto"/>
        <w:left w:val="none" w:sz="0" w:space="0" w:color="auto"/>
        <w:bottom w:val="none" w:sz="0" w:space="0" w:color="auto"/>
        <w:right w:val="none" w:sz="0" w:space="0" w:color="auto"/>
      </w:divBdr>
    </w:div>
    <w:div w:id="2086105075">
      <w:bodyDiv w:val="1"/>
      <w:marLeft w:val="0"/>
      <w:marRight w:val="0"/>
      <w:marTop w:val="0"/>
      <w:marBottom w:val="0"/>
      <w:divBdr>
        <w:top w:val="none" w:sz="0" w:space="0" w:color="auto"/>
        <w:left w:val="none" w:sz="0" w:space="0" w:color="auto"/>
        <w:bottom w:val="none" w:sz="0" w:space="0" w:color="auto"/>
        <w:right w:val="none" w:sz="0" w:space="0" w:color="auto"/>
      </w:divBdr>
    </w:div>
    <w:div w:id="2097940118">
      <w:bodyDiv w:val="1"/>
      <w:marLeft w:val="0"/>
      <w:marRight w:val="0"/>
      <w:marTop w:val="0"/>
      <w:marBottom w:val="0"/>
      <w:divBdr>
        <w:top w:val="none" w:sz="0" w:space="0" w:color="auto"/>
        <w:left w:val="none" w:sz="0" w:space="0" w:color="auto"/>
        <w:bottom w:val="none" w:sz="0" w:space="0" w:color="auto"/>
        <w:right w:val="none" w:sz="0" w:space="0" w:color="auto"/>
      </w:divBdr>
    </w:div>
    <w:div w:id="210437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2777</Words>
  <Characters>15832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dc:creator>
  <cp:lastModifiedBy>Jez</cp:lastModifiedBy>
  <cp:revision>19</cp:revision>
  <cp:lastPrinted>2025-11-27T13:48:00Z</cp:lastPrinted>
  <dcterms:created xsi:type="dcterms:W3CDTF">2025-11-27T12:47:00Z</dcterms:created>
  <dcterms:modified xsi:type="dcterms:W3CDTF">2025-11-27T14:50:00Z</dcterms:modified>
</cp:coreProperties>
</file>